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B4892">
      <w:pPr>
        <w:pStyle w:val="11"/>
        <w:adjustRightInd w:val="0"/>
        <w:snapToGrid w:val="0"/>
        <w:spacing w:line="700" w:lineRule="exact"/>
        <w:jc w:val="left"/>
        <w:rPr>
          <w:rFonts w:hint="eastAsia" w:ascii="方正小标宋简体" w:hAnsi="方正小标宋简体" w:eastAsia="方正小标宋简体" w:cs="方正小标宋简体"/>
          <w:kern w:val="0"/>
          <w:sz w:val="44"/>
          <w:szCs w:val="44"/>
        </w:rPr>
      </w:pPr>
    </w:p>
    <w:p w14:paraId="773B795C">
      <w:pPr>
        <w:pStyle w:val="11"/>
        <w:adjustRightInd w:val="0"/>
        <w:snapToGrid w:val="0"/>
        <w:spacing w:line="640" w:lineRule="exact"/>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江西省工伤保险辅助器具配置服务协议</w:t>
      </w:r>
      <w:r>
        <w:rPr>
          <w:rFonts w:ascii="方正小标宋简体" w:hAnsi="方正小标宋简体" w:eastAsia="方正小标宋简体" w:cs="方正小标宋简体"/>
          <w:kern w:val="0"/>
          <w:sz w:val="44"/>
          <w:szCs w:val="44"/>
        </w:rPr>
        <w:t>范本</w:t>
      </w:r>
    </w:p>
    <w:p w14:paraId="5550C20D">
      <w:pPr>
        <w:pStyle w:val="11"/>
        <w:adjustRightInd w:val="0"/>
        <w:snapToGrid w:val="0"/>
        <w:spacing w:line="560" w:lineRule="exact"/>
        <w:jc w:val="center"/>
        <w:rPr>
          <w:rFonts w:ascii="仿宋_GB2312" w:hAnsi="仿宋_GB2312" w:eastAsia="仿宋_GB2312" w:cs="仿宋_GB2312"/>
          <w:b/>
          <w:kern w:val="0"/>
          <w:sz w:val="32"/>
          <w:szCs w:val="32"/>
        </w:rPr>
      </w:pPr>
    </w:p>
    <w:p w14:paraId="36462CA6">
      <w:pPr>
        <w:pStyle w:val="11"/>
        <w:adjustRightInd w:val="0"/>
        <w:snapToGrid w:val="0"/>
        <w:spacing w:line="600" w:lineRule="exact"/>
        <w:ind w:firstLine="960" w:firstLineChars="300"/>
        <w:rPr>
          <w:rFonts w:hint="eastAsia" w:ascii="仿宋_GB2312" w:eastAsia="仿宋_GB2312"/>
          <w:sz w:val="30"/>
          <w:szCs w:val="30"/>
        </w:rPr>
      </w:pPr>
      <w:r>
        <w:rPr>
          <w:rFonts w:hint="eastAsia" w:ascii="仿宋_GB2312" w:hAnsi="仿宋_GB2312" w:eastAsia="仿宋_GB2312"/>
          <w:sz w:val="32"/>
          <w:szCs w:val="32"/>
        </w:rPr>
        <w:t>甲</w:t>
      </w:r>
      <w:r>
        <w:rPr>
          <w:rFonts w:hint="eastAsia" w:ascii="仿宋_GB2312" w:eastAsia="仿宋_GB2312"/>
          <w:sz w:val="32"/>
          <w:szCs w:val="32"/>
        </w:rPr>
        <w:t xml:space="preserve">    </w:t>
      </w:r>
      <w:r>
        <w:rPr>
          <w:rFonts w:hint="eastAsia" w:ascii="仿宋_GB2312" w:hAnsi="仿宋_GB2312" w:eastAsia="仿宋_GB2312"/>
          <w:sz w:val="32"/>
          <w:szCs w:val="32"/>
        </w:rPr>
        <w:t>方：</w:t>
      </w:r>
      <w:r>
        <w:rPr>
          <w:rFonts w:hint="eastAsia" w:ascii="仿宋_GB2312" w:eastAsia="仿宋_GB2312"/>
          <w:sz w:val="30"/>
          <w:szCs w:val="30"/>
          <w:u w:val="single"/>
        </w:rPr>
        <w:t xml:space="preserve">                                   </w:t>
      </w:r>
    </w:p>
    <w:p w14:paraId="36EFECCB">
      <w:pPr>
        <w:pStyle w:val="11"/>
        <w:adjustRightInd w:val="0"/>
        <w:snapToGrid w:val="0"/>
        <w:spacing w:line="600" w:lineRule="exact"/>
        <w:ind w:firstLine="960" w:firstLineChars="300"/>
        <w:rPr>
          <w:rFonts w:hint="eastAsia" w:ascii="仿宋_GB2312" w:eastAsia="仿宋_GB2312"/>
          <w:sz w:val="32"/>
          <w:szCs w:val="32"/>
        </w:rPr>
      </w:pPr>
      <w:r>
        <w:rPr>
          <w:rFonts w:hint="eastAsia" w:ascii="仿宋_GB2312" w:hAnsi="仿宋_GB2312" w:eastAsia="仿宋_GB2312"/>
          <w:sz w:val="32"/>
          <w:szCs w:val="32"/>
        </w:rPr>
        <w:t>法定代表人或委托代理人：</w:t>
      </w:r>
      <w:r>
        <w:rPr>
          <w:rFonts w:hint="eastAsia" w:ascii="仿宋_GB2312" w:eastAsia="仿宋_GB2312"/>
          <w:sz w:val="30"/>
          <w:szCs w:val="30"/>
          <w:u w:val="single"/>
        </w:rPr>
        <w:t xml:space="preserve">                    </w:t>
      </w:r>
    </w:p>
    <w:p w14:paraId="2E6031F6">
      <w:pPr>
        <w:pStyle w:val="11"/>
        <w:adjustRightInd w:val="0"/>
        <w:snapToGrid w:val="0"/>
        <w:spacing w:line="600" w:lineRule="exact"/>
        <w:ind w:firstLine="960" w:firstLineChars="300"/>
        <w:rPr>
          <w:rFonts w:hint="eastAsia" w:ascii="仿宋_GB2312" w:eastAsia="仿宋_GB2312"/>
          <w:sz w:val="32"/>
          <w:szCs w:val="32"/>
          <w:u w:val="single"/>
        </w:rPr>
      </w:pPr>
      <w:r>
        <w:rPr>
          <w:rFonts w:hint="eastAsia" w:ascii="仿宋_GB2312" w:hAnsi="仿宋_GB2312" w:eastAsia="仿宋_GB2312"/>
          <w:sz w:val="32"/>
          <w:szCs w:val="32"/>
        </w:rPr>
        <w:t>地</w:t>
      </w:r>
      <w:r>
        <w:rPr>
          <w:rFonts w:hint="eastAsia" w:ascii="仿宋_GB2312" w:eastAsia="仿宋_GB2312"/>
          <w:sz w:val="32"/>
          <w:szCs w:val="32"/>
        </w:rPr>
        <w:t xml:space="preserve">    </w:t>
      </w:r>
      <w:r>
        <w:rPr>
          <w:rFonts w:hint="eastAsia" w:ascii="仿宋_GB2312" w:hAnsi="仿宋_GB2312" w:eastAsia="仿宋_GB2312"/>
          <w:sz w:val="32"/>
          <w:szCs w:val="32"/>
        </w:rPr>
        <w:t>址：</w:t>
      </w:r>
      <w:r>
        <w:rPr>
          <w:rFonts w:hint="eastAsia" w:ascii="仿宋_GB2312" w:eastAsia="仿宋_GB2312"/>
          <w:sz w:val="30"/>
          <w:szCs w:val="30"/>
          <w:u w:val="single"/>
        </w:rPr>
        <w:t xml:space="preserve">                                   </w:t>
      </w:r>
    </w:p>
    <w:p w14:paraId="6842445A">
      <w:pPr>
        <w:pStyle w:val="11"/>
        <w:adjustRightInd w:val="0"/>
        <w:snapToGrid w:val="0"/>
        <w:spacing w:line="600" w:lineRule="exact"/>
        <w:ind w:firstLine="960" w:firstLineChars="300"/>
        <w:rPr>
          <w:rFonts w:hint="eastAsia" w:ascii="仿宋_GB2312" w:eastAsia="仿宋_GB2312"/>
          <w:sz w:val="32"/>
          <w:szCs w:val="32"/>
          <w:u w:val="single"/>
        </w:rPr>
      </w:pPr>
      <w:r>
        <w:rPr>
          <w:rFonts w:hint="eastAsia" w:ascii="仿宋_GB2312" w:hAnsi="仿宋_GB2312" w:eastAsia="仿宋_GB2312"/>
          <w:sz w:val="32"/>
          <w:szCs w:val="32"/>
        </w:rPr>
        <w:t>邮政编码：</w:t>
      </w:r>
      <w:r>
        <w:rPr>
          <w:rFonts w:hint="eastAsia" w:ascii="仿宋_GB2312" w:eastAsia="仿宋_GB2312"/>
          <w:sz w:val="30"/>
          <w:szCs w:val="30"/>
          <w:u w:val="single"/>
        </w:rPr>
        <w:t xml:space="preserve">                                   </w:t>
      </w:r>
    </w:p>
    <w:p w14:paraId="09B5C49D">
      <w:pPr>
        <w:pStyle w:val="11"/>
        <w:adjustRightInd w:val="0"/>
        <w:snapToGrid w:val="0"/>
        <w:spacing w:line="600" w:lineRule="exact"/>
        <w:ind w:firstLine="960" w:firstLineChars="300"/>
        <w:rPr>
          <w:rFonts w:hint="eastAsia" w:ascii="仿宋_GB2312" w:hAnsi="仿宋_GB2312" w:eastAsia="仿宋_GB2312" w:cs="仿宋_GB2312"/>
          <w:sz w:val="32"/>
          <w:szCs w:val="32"/>
        </w:rPr>
      </w:pPr>
      <w:r>
        <w:rPr>
          <w:rFonts w:hint="eastAsia" w:ascii="仿宋_GB2312" w:hAnsi="仿宋_GB2312" w:eastAsia="仿宋_GB2312"/>
          <w:sz w:val="32"/>
          <w:szCs w:val="32"/>
        </w:rPr>
        <w:t>联系电话：</w:t>
      </w:r>
      <w:r>
        <w:rPr>
          <w:rFonts w:hint="eastAsia" w:ascii="仿宋_GB2312" w:eastAsia="仿宋_GB2312"/>
          <w:sz w:val="30"/>
          <w:szCs w:val="30"/>
          <w:u w:val="single"/>
        </w:rPr>
        <w:t xml:space="preserve">                                   </w:t>
      </w:r>
    </w:p>
    <w:p w14:paraId="5E76C4CF">
      <w:pPr>
        <w:pStyle w:val="11"/>
        <w:adjustRightInd w:val="0"/>
        <w:snapToGrid w:val="0"/>
        <w:spacing w:line="600" w:lineRule="exact"/>
        <w:ind w:firstLine="960" w:firstLineChars="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    方：</w:t>
      </w:r>
      <w:r>
        <w:rPr>
          <w:rFonts w:hint="eastAsia" w:ascii="仿宋_GB2312" w:hAnsi="仿宋_GB2312" w:eastAsia="仿宋_GB2312" w:cs="仿宋_GB2312"/>
          <w:sz w:val="30"/>
          <w:szCs w:val="30"/>
          <w:u w:val="single"/>
        </w:rPr>
        <w:t xml:space="preserve">                                   </w:t>
      </w:r>
    </w:p>
    <w:p w14:paraId="308E1E96">
      <w:pPr>
        <w:pStyle w:val="11"/>
        <w:adjustRightInd w:val="0"/>
        <w:snapToGrid w:val="0"/>
        <w:spacing w:line="600" w:lineRule="exact"/>
        <w:ind w:firstLine="960" w:firstLineChars="3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法定代表人或委托代理人：</w:t>
      </w:r>
      <w:r>
        <w:rPr>
          <w:rFonts w:hint="eastAsia" w:ascii="仿宋_GB2312" w:hAnsi="仿宋_GB2312" w:eastAsia="仿宋_GB2312" w:cs="仿宋_GB2312"/>
          <w:sz w:val="30"/>
          <w:szCs w:val="30"/>
          <w:u w:val="single"/>
        </w:rPr>
        <w:t xml:space="preserve">                    </w:t>
      </w:r>
    </w:p>
    <w:p w14:paraId="4FFB4BC4">
      <w:pPr>
        <w:pStyle w:val="11"/>
        <w:adjustRightInd w:val="0"/>
        <w:snapToGrid w:val="0"/>
        <w:spacing w:line="600" w:lineRule="exact"/>
        <w:ind w:firstLine="960" w:firstLineChars="3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地    址：</w:t>
      </w:r>
      <w:r>
        <w:rPr>
          <w:rFonts w:hint="eastAsia" w:ascii="仿宋_GB2312" w:hAnsi="仿宋_GB2312" w:eastAsia="仿宋_GB2312" w:cs="仿宋_GB2312"/>
          <w:sz w:val="30"/>
          <w:szCs w:val="30"/>
          <w:u w:val="single"/>
        </w:rPr>
        <w:t xml:space="preserve">                                   </w:t>
      </w:r>
    </w:p>
    <w:p w14:paraId="1453858B">
      <w:pPr>
        <w:pStyle w:val="11"/>
        <w:adjustRightInd w:val="0"/>
        <w:snapToGrid w:val="0"/>
        <w:spacing w:line="600" w:lineRule="exact"/>
        <w:ind w:firstLine="960" w:firstLineChars="3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邮政编码：</w:t>
      </w:r>
      <w:r>
        <w:rPr>
          <w:rFonts w:hint="eastAsia" w:ascii="仿宋_GB2312" w:hAnsi="仿宋_GB2312" w:eastAsia="仿宋_GB2312" w:cs="仿宋_GB2312"/>
          <w:sz w:val="30"/>
          <w:szCs w:val="30"/>
          <w:u w:val="single"/>
        </w:rPr>
        <w:t xml:space="preserve">                                   </w:t>
      </w:r>
    </w:p>
    <w:p w14:paraId="11686324">
      <w:pPr>
        <w:pStyle w:val="11"/>
        <w:adjustRightInd w:val="0"/>
        <w:snapToGrid w:val="0"/>
        <w:spacing w:line="600" w:lineRule="exact"/>
        <w:ind w:firstLine="960" w:firstLineChars="3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0"/>
          <w:szCs w:val="30"/>
          <w:u w:val="single"/>
        </w:rPr>
        <w:t xml:space="preserve">                                   </w:t>
      </w:r>
    </w:p>
    <w:p w14:paraId="1B1BF520">
      <w:pPr>
        <w:pStyle w:val="11"/>
        <w:adjustRightInd w:val="0"/>
        <w:snapToGrid w:val="0"/>
        <w:spacing w:line="560" w:lineRule="exact"/>
        <w:jc w:val="center"/>
        <w:rPr>
          <w:rFonts w:hint="eastAsia" w:ascii="仿宋_GB2312" w:hAnsi="仿宋_GB2312" w:eastAsia="仿宋_GB2312" w:cs="仿宋_GB2312"/>
          <w:sz w:val="32"/>
          <w:szCs w:val="32"/>
        </w:rPr>
      </w:pPr>
    </w:p>
    <w:p w14:paraId="715C529C">
      <w:pPr>
        <w:pStyle w:val="11"/>
        <w:adjustRightInd w:val="0"/>
        <w:snapToGrid w:val="0"/>
        <w:spacing w:line="560" w:lineRule="exact"/>
        <w:jc w:val="center"/>
        <w:rPr>
          <w:rFonts w:hint="eastAsia" w:ascii="仿宋_GB2312" w:hAnsi="仿宋_GB2312" w:eastAsia="仿宋_GB2312" w:cs="仿宋_GB2312"/>
          <w:sz w:val="32"/>
          <w:szCs w:val="32"/>
        </w:rPr>
      </w:pPr>
    </w:p>
    <w:p w14:paraId="3839E6F7">
      <w:pPr>
        <w:pStyle w:val="11"/>
        <w:adjustRightInd w:val="0"/>
        <w:snapToGrid w:val="0"/>
        <w:spacing w:line="560" w:lineRule="exact"/>
        <w:jc w:val="center"/>
        <w:rPr>
          <w:rFonts w:hint="eastAsia" w:ascii="仿宋_GB2312" w:hAnsi="仿宋_GB2312" w:eastAsia="仿宋_GB2312" w:cs="仿宋_GB2312"/>
          <w:sz w:val="32"/>
          <w:szCs w:val="32"/>
        </w:rPr>
      </w:pPr>
    </w:p>
    <w:p w14:paraId="1D7B7BB0">
      <w:pPr>
        <w:pStyle w:val="11"/>
        <w:adjustRightInd w:val="0"/>
        <w:snapToGrid w:val="0"/>
        <w:spacing w:line="560" w:lineRule="exact"/>
        <w:jc w:val="center"/>
        <w:rPr>
          <w:rFonts w:hint="eastAsia" w:ascii="仿宋_GB2312" w:hAnsi="仿宋_GB2312" w:eastAsia="仿宋_GB2312" w:cs="仿宋_GB2312"/>
          <w:sz w:val="32"/>
          <w:szCs w:val="32"/>
        </w:rPr>
      </w:pPr>
    </w:p>
    <w:p w14:paraId="320B91CE">
      <w:pPr>
        <w:pStyle w:val="11"/>
        <w:adjustRightInd w:val="0"/>
        <w:snapToGrid w:val="0"/>
        <w:spacing w:line="560" w:lineRule="exact"/>
        <w:jc w:val="center"/>
        <w:rPr>
          <w:rFonts w:hint="eastAsia" w:ascii="仿宋_GB2312" w:hAnsi="仿宋_GB2312" w:eastAsia="仿宋_GB2312" w:cs="仿宋_GB2312"/>
          <w:sz w:val="32"/>
          <w:szCs w:val="32"/>
        </w:rPr>
      </w:pPr>
    </w:p>
    <w:p w14:paraId="50AAA805">
      <w:pPr>
        <w:pStyle w:val="11"/>
        <w:adjustRightInd w:val="0"/>
        <w:snapToGrid w:val="0"/>
        <w:spacing w:line="560" w:lineRule="exact"/>
        <w:jc w:val="center"/>
        <w:rPr>
          <w:rFonts w:hint="eastAsia" w:ascii="仿宋_GB2312" w:hAnsi="仿宋_GB2312" w:eastAsia="仿宋_GB2312" w:cs="仿宋_GB2312"/>
          <w:sz w:val="32"/>
          <w:szCs w:val="32"/>
        </w:rPr>
      </w:pPr>
    </w:p>
    <w:p w14:paraId="3B343E5A">
      <w:pPr>
        <w:pStyle w:val="11"/>
        <w:adjustRightInd w:val="0"/>
        <w:snapToGrid w:val="0"/>
        <w:spacing w:line="560" w:lineRule="exact"/>
        <w:jc w:val="center"/>
        <w:rPr>
          <w:rFonts w:ascii="仿宋_GB2312" w:hAnsi="仿宋_GB2312" w:eastAsia="仿宋_GB2312" w:cs="仿宋_GB2312"/>
          <w:sz w:val="32"/>
          <w:szCs w:val="32"/>
        </w:rPr>
      </w:pPr>
    </w:p>
    <w:p w14:paraId="16667542">
      <w:pPr>
        <w:pStyle w:val="7"/>
        <w:adjustRightInd w:val="0"/>
        <w:snapToGrid w:val="0"/>
        <w:spacing w:before="0" w:beforeAutospacing="0" w:after="0" w:afterAutospacing="0" w:line="560" w:lineRule="exact"/>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江西省社会保险管理中心制订</w:t>
      </w:r>
    </w:p>
    <w:p w14:paraId="7A3E16EB">
      <w:pPr>
        <w:pStyle w:val="6"/>
        <w:ind w:firstLine="600" w:firstLineChars="150"/>
        <w:contextualSpacing/>
        <w:rPr>
          <w:rFonts w:hint="eastAsia" w:ascii="仿宋_GB2312" w:eastAsia="仿宋_GB2312"/>
          <w:sz w:val="32"/>
          <w:szCs w:val="32"/>
        </w:rPr>
      </w:pPr>
      <w:r>
        <w:rPr>
          <w:rFonts w:ascii="华文中宋" w:hAnsi="华文中宋" w:eastAsia="华文中宋"/>
          <w:sz w:val="40"/>
          <w:szCs w:val="40"/>
        </w:rPr>
        <w:br w:type="page"/>
      </w:r>
      <w:r>
        <w:rPr>
          <w:rFonts w:hint="eastAsia" w:ascii="仿宋_GB2312" w:eastAsia="仿宋_GB2312"/>
          <w:sz w:val="32"/>
          <w:szCs w:val="32"/>
        </w:rPr>
        <w:t>为保障工伤职工获得质量优良的辅助器具产品和良好服务，促进工伤职工功能恢复，规范辅助器具配置管理工作，根据《工伤保险条例》《工伤保险辅助器具配置管理办法》《江西省实施〈工伤保险条例〉办法》</w:t>
      </w:r>
      <w:r>
        <w:rPr>
          <w:rFonts w:hint="eastAsia" w:ascii="仿宋_GB2312" w:hAnsi="仿宋" w:eastAsia="仿宋_GB2312"/>
          <w:color w:val="000000"/>
          <w:sz w:val="32"/>
          <w:szCs w:val="32"/>
        </w:rPr>
        <w:t>《江西省工伤保险协议机构管理办法》</w:t>
      </w:r>
      <w:r>
        <w:rPr>
          <w:rFonts w:hint="eastAsia" w:ascii="仿宋_GB2312" w:eastAsia="仿宋_GB2312"/>
          <w:sz w:val="32"/>
          <w:szCs w:val="32"/>
        </w:rPr>
        <w:t>等有关规定，甲乙双方就工伤保险辅助器具配置事宜，经协商签订如下协议。</w:t>
      </w:r>
    </w:p>
    <w:p w14:paraId="442D99F7">
      <w:pPr>
        <w:pStyle w:val="8"/>
        <w:spacing w:before="0" w:after="0"/>
        <w:contextualSpacing/>
        <w:rPr>
          <w:rFonts w:ascii="黑体" w:hAnsi="黑体" w:eastAsia="黑体"/>
          <w:b w:val="0"/>
          <w:color w:val="000000"/>
        </w:rPr>
      </w:pPr>
      <w:r>
        <w:rPr>
          <w:rFonts w:hint="eastAsia" w:ascii="黑体" w:hAnsi="黑体" w:eastAsia="黑体"/>
          <w:b w:val="0"/>
          <w:color w:val="000000"/>
        </w:rPr>
        <w:t xml:space="preserve">第一章  总 </w:t>
      </w:r>
      <w:r>
        <w:rPr>
          <w:rFonts w:ascii="黑体" w:hAnsi="黑体" w:eastAsia="黑体"/>
          <w:b w:val="0"/>
          <w:color w:val="000000"/>
        </w:rPr>
        <w:t xml:space="preserve"> </w:t>
      </w:r>
      <w:r>
        <w:rPr>
          <w:rFonts w:hint="eastAsia" w:ascii="黑体" w:hAnsi="黑体" w:eastAsia="黑体"/>
          <w:b w:val="0"/>
          <w:color w:val="000000"/>
        </w:rPr>
        <w:t>则</w:t>
      </w:r>
    </w:p>
    <w:p w14:paraId="274D4477">
      <w:pPr>
        <w:pStyle w:val="6"/>
        <w:ind w:firstLine="640" w:firstLineChars="200"/>
        <w:contextualSpacing/>
        <w:rPr>
          <w:rFonts w:ascii="仿宋_GB2312" w:hAnsi="仿宋" w:eastAsia="仿宋_GB2312"/>
          <w:color w:val="000000"/>
          <w:sz w:val="32"/>
          <w:szCs w:val="32"/>
        </w:rPr>
      </w:pPr>
      <w:r>
        <w:rPr>
          <w:rFonts w:hint="eastAsia" w:ascii="黑体" w:hAnsi="黑体" w:eastAsia="黑体"/>
          <w:color w:val="000000"/>
          <w:sz w:val="32"/>
          <w:szCs w:val="32"/>
        </w:rPr>
        <w:t>第一条</w:t>
      </w:r>
      <w:r>
        <w:rPr>
          <w:rFonts w:hint="eastAsia" w:ascii="仿宋_GB2312" w:hAnsi="仿宋" w:eastAsia="仿宋_GB2312"/>
          <w:color w:val="000000"/>
          <w:sz w:val="32"/>
          <w:szCs w:val="32"/>
        </w:rPr>
        <w:t xml:space="preserve"> </w:t>
      </w:r>
      <w:r>
        <w:rPr>
          <w:rFonts w:ascii="仿宋_GB2312" w:hAnsi="仿宋" w:eastAsia="仿宋_GB2312"/>
          <w:color w:val="000000"/>
          <w:sz w:val="32"/>
          <w:szCs w:val="32"/>
        </w:rPr>
        <w:t xml:space="preserve"> </w:t>
      </w:r>
      <w:r>
        <w:rPr>
          <w:rFonts w:hint="eastAsia" w:ascii="仿宋_GB2312" w:hAnsi="仿宋" w:eastAsia="仿宋_GB2312"/>
          <w:color w:val="000000"/>
          <w:sz w:val="32"/>
          <w:szCs w:val="32"/>
        </w:rPr>
        <w:t>甲乙双方应共同遵守国家有关法律、法规，认真贯彻执行工伤保险的各项</w:t>
      </w:r>
      <w:r>
        <w:rPr>
          <w:rFonts w:ascii="仿宋_GB2312" w:hAnsi="仿宋" w:eastAsia="仿宋_GB2312"/>
          <w:color w:val="000000"/>
          <w:sz w:val="32"/>
          <w:szCs w:val="32"/>
        </w:rPr>
        <w:t>具体</w:t>
      </w:r>
      <w:r>
        <w:rPr>
          <w:rFonts w:hint="eastAsia" w:ascii="仿宋_GB2312" w:hAnsi="仿宋" w:eastAsia="仿宋_GB2312"/>
          <w:color w:val="000000"/>
          <w:sz w:val="32"/>
          <w:szCs w:val="32"/>
        </w:rPr>
        <w:t>规定，严格执行本协议内容，履行各自的职责和义务。</w:t>
      </w:r>
    </w:p>
    <w:p w14:paraId="7C6629F8">
      <w:pPr>
        <w:ind w:firstLine="592" w:firstLineChars="185"/>
        <w:contextualSpacing/>
        <w:rPr>
          <w:rFonts w:ascii="仿宋_GB2312" w:hAnsi="仿宋" w:eastAsia="仿宋_GB2312"/>
          <w:szCs w:val="32"/>
        </w:rPr>
      </w:pPr>
      <w:r>
        <w:rPr>
          <w:rFonts w:hint="eastAsia" w:ascii="黑体" w:hAnsi="黑体" w:eastAsia="黑体" w:cs="Courier New"/>
          <w:color w:val="000000"/>
          <w:szCs w:val="32"/>
        </w:rPr>
        <w:t>第二条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hAnsi="仿宋" w:eastAsia="仿宋_GB2312"/>
          <w:color w:val="000000"/>
          <w:szCs w:val="32"/>
        </w:rPr>
        <w:t>甲乙双方有义务向用人单位、工伤职工和辅助器具配置</w:t>
      </w:r>
      <w:r>
        <w:rPr>
          <w:rFonts w:ascii="仿宋_GB2312" w:hAnsi="仿宋" w:eastAsia="仿宋_GB2312"/>
          <w:color w:val="000000"/>
          <w:szCs w:val="32"/>
        </w:rPr>
        <w:t>机构</w:t>
      </w:r>
      <w:r>
        <w:rPr>
          <w:rFonts w:hint="eastAsia" w:ascii="仿宋_GB2312" w:hAnsi="仿宋" w:eastAsia="仿宋_GB2312"/>
          <w:color w:val="000000"/>
          <w:szCs w:val="32"/>
        </w:rPr>
        <w:t>工作人员宣传工伤保险的各项政策。乙方有权向甲方提出合理化建议，甲方</w:t>
      </w:r>
      <w:r>
        <w:rPr>
          <w:rFonts w:hint="eastAsia" w:ascii="仿宋_GB2312" w:hAnsi="仿宋" w:eastAsia="仿宋_GB2312"/>
          <w:szCs w:val="32"/>
        </w:rPr>
        <w:t>有权监督乙方执行有关政策法规和履行协议的情况。</w:t>
      </w:r>
    </w:p>
    <w:p w14:paraId="024FEF18">
      <w:pPr>
        <w:ind w:firstLine="592" w:firstLineChars="185"/>
        <w:contextualSpacing/>
        <w:rPr>
          <w:rFonts w:ascii="仿宋_GB2312" w:hAnsi="仿宋" w:eastAsia="仿宋_GB2312"/>
          <w:color w:val="000000"/>
          <w:szCs w:val="32"/>
        </w:rPr>
      </w:pPr>
      <w:r>
        <w:rPr>
          <w:rFonts w:hint="eastAsia" w:ascii="黑体" w:hAnsi="黑体" w:eastAsia="黑体" w:cs="Courier New"/>
          <w:color w:val="000000"/>
          <w:szCs w:val="32"/>
        </w:rPr>
        <w:t>第三条</w:t>
      </w:r>
      <w:r>
        <w:rPr>
          <w:rFonts w:hint="eastAsia" w:ascii="仿宋_GB2312" w:hAnsi="仿宋" w:eastAsia="仿宋_GB2312"/>
          <w:szCs w:val="32"/>
        </w:rPr>
        <w:t xml:space="preserve"> </w:t>
      </w:r>
      <w:r>
        <w:rPr>
          <w:rFonts w:ascii="仿宋_GB2312" w:hAnsi="仿宋" w:eastAsia="仿宋_GB2312"/>
          <w:szCs w:val="32"/>
        </w:rPr>
        <w:t xml:space="preserve"> </w:t>
      </w:r>
      <w:r>
        <w:rPr>
          <w:rFonts w:hint="eastAsia" w:ascii="仿宋_GB2312" w:hAnsi="仿宋" w:eastAsia="仿宋_GB2312"/>
          <w:color w:val="000000"/>
          <w:szCs w:val="32"/>
        </w:rPr>
        <w:t>甲方应及时告知乙方工伤保险政策</w:t>
      </w:r>
      <w:r>
        <w:rPr>
          <w:rFonts w:ascii="仿宋_GB2312" w:hAnsi="仿宋" w:eastAsia="仿宋_GB2312"/>
          <w:color w:val="000000"/>
          <w:szCs w:val="32"/>
        </w:rPr>
        <w:t>、</w:t>
      </w:r>
      <w:r>
        <w:rPr>
          <w:rFonts w:hint="eastAsia" w:ascii="仿宋_GB2312" w:hAnsi="仿宋" w:eastAsia="仿宋_GB2312"/>
          <w:color w:val="000000"/>
          <w:szCs w:val="32"/>
        </w:rPr>
        <w:t>辅助器具配置政策及管理制度的变化情况，加强对工伤保险辅助器具配置费用的管理和监督检查，按规定及时足额支付配置费用；对乙方开展政策和经办业务等培训，听取乙方对改进工作的意见。</w:t>
      </w:r>
    </w:p>
    <w:p w14:paraId="644710F0">
      <w:pPr>
        <w:ind w:firstLine="592" w:firstLineChars="185"/>
        <w:contextualSpacing/>
        <w:rPr>
          <w:rFonts w:hint="eastAsia" w:ascii="仿宋_GB2312" w:hAnsi="仿宋" w:eastAsia="仿宋_GB2312"/>
          <w:color w:val="000000"/>
          <w:szCs w:val="32"/>
        </w:rPr>
      </w:pPr>
      <w:r>
        <w:rPr>
          <w:rFonts w:hint="eastAsia" w:ascii="黑体" w:hAnsi="黑体" w:eastAsia="黑体" w:cs="Courier New"/>
          <w:color w:val="000000"/>
          <w:szCs w:val="32"/>
        </w:rPr>
        <w:t>第四条</w:t>
      </w:r>
      <w:r>
        <w:rPr>
          <w:rFonts w:hint="eastAsia" w:ascii="仿宋_GB2312" w:hAnsi="仿宋" w:eastAsia="仿宋_GB2312"/>
          <w:color w:val="000000"/>
          <w:szCs w:val="32"/>
        </w:rPr>
        <w:t xml:space="preserve"> </w:t>
      </w:r>
      <w:r>
        <w:rPr>
          <w:rFonts w:ascii="仿宋_GB2312" w:hAnsi="仿宋" w:eastAsia="仿宋_GB2312"/>
          <w:color w:val="000000"/>
          <w:szCs w:val="32"/>
        </w:rPr>
        <w:t xml:space="preserve"> </w:t>
      </w:r>
      <w:r>
        <w:rPr>
          <w:rFonts w:hint="eastAsia" w:ascii="仿宋_GB2312" w:hAnsi="仿宋" w:eastAsia="仿宋_GB2312"/>
          <w:color w:val="000000"/>
          <w:szCs w:val="32"/>
        </w:rPr>
        <w:t>乙方应</w:t>
      </w:r>
      <w:r>
        <w:rPr>
          <w:rFonts w:ascii="Times New Roman" w:hAnsi="Times New Roman" w:eastAsia="仿宋_GB2312"/>
          <w:kern w:val="0"/>
          <w:szCs w:val="32"/>
          <w:lang w:bidi="ar"/>
        </w:rPr>
        <w:t>确认已具备独立法人资格，持有有效《营业执照》</w:t>
      </w:r>
      <w:r>
        <w:rPr>
          <w:rFonts w:hint="eastAsia" w:ascii="Times New Roman" w:hAnsi="Times New Roman" w:eastAsia="仿宋_GB2312"/>
          <w:kern w:val="0"/>
          <w:szCs w:val="32"/>
          <w:lang w:bidi="ar"/>
        </w:rPr>
        <w:t>，</w:t>
      </w:r>
      <w:r>
        <w:rPr>
          <w:rFonts w:hint="eastAsia" w:ascii="仿宋_GB2312" w:hAnsi="仿宋" w:eastAsia="仿宋_GB2312"/>
          <w:color w:val="000000"/>
          <w:szCs w:val="32"/>
        </w:rPr>
        <w:t>依据国家有关规定及本协议为</w:t>
      </w:r>
      <w:r>
        <w:rPr>
          <w:rFonts w:ascii="仿宋_GB2312" w:hAnsi="仿宋" w:eastAsia="仿宋_GB2312"/>
          <w:color w:val="000000"/>
          <w:szCs w:val="32"/>
        </w:rPr>
        <w:t>工伤职工提供规范的辅</w:t>
      </w:r>
      <w:r>
        <w:rPr>
          <w:rFonts w:hint="eastAsia" w:ascii="仿宋_GB2312" w:hAnsi="仿宋" w:eastAsia="仿宋_GB2312"/>
          <w:color w:val="000000"/>
          <w:szCs w:val="32"/>
        </w:rPr>
        <w:t>助器</w:t>
      </w:r>
      <w:r>
        <w:rPr>
          <w:rFonts w:ascii="仿宋_GB2312" w:hAnsi="仿宋" w:eastAsia="仿宋_GB2312"/>
          <w:color w:val="000000"/>
          <w:szCs w:val="32"/>
        </w:rPr>
        <w:t>具配置服务</w:t>
      </w:r>
      <w:r>
        <w:rPr>
          <w:rFonts w:hint="eastAsia" w:ascii="仿宋_GB2312" w:hAnsi="仿宋" w:eastAsia="仿宋_GB2312"/>
          <w:color w:val="000000"/>
          <w:szCs w:val="32"/>
        </w:rPr>
        <w:t>，并积极配合甲方开展工伤保险跨省异地就医直接结算等各类工伤保险试点工作。</w:t>
      </w:r>
    </w:p>
    <w:p w14:paraId="1CF637FB">
      <w:pPr>
        <w:ind w:firstLine="640" w:firstLineChars="200"/>
        <w:contextualSpacing/>
        <w:rPr>
          <w:rFonts w:ascii="仿宋_GB2312" w:hAnsi="仿宋" w:eastAsia="仿宋_GB2312"/>
          <w:color w:val="000000"/>
          <w:szCs w:val="32"/>
        </w:rPr>
      </w:pPr>
      <w:r>
        <w:rPr>
          <w:rFonts w:hint="eastAsia" w:ascii="仿宋_GB2312" w:hAnsi="仿宋" w:eastAsia="仿宋_GB2312"/>
          <w:color w:val="000000"/>
          <w:szCs w:val="32"/>
        </w:rPr>
        <w:t>乙方应建立工伤保险服务管理制度，</w:t>
      </w:r>
      <w:r>
        <w:rPr>
          <w:rFonts w:hint="eastAsia" w:ascii="仿宋_GB2312" w:hAnsi="仿宋_GB2312" w:eastAsia="仿宋_GB2312" w:cs="仿宋_GB2312"/>
          <w:szCs w:val="32"/>
        </w:rPr>
        <w:t>制定针对工伤</w:t>
      </w:r>
      <w:r>
        <w:rPr>
          <w:rFonts w:ascii="仿宋_GB2312" w:hAnsi="仿宋_GB2312" w:eastAsia="仿宋_GB2312" w:cs="仿宋_GB2312"/>
          <w:szCs w:val="32"/>
        </w:rPr>
        <w:t>职工</w:t>
      </w:r>
      <w:r>
        <w:rPr>
          <w:rFonts w:hint="eastAsia" w:ascii="仿宋_GB2312" w:hAnsi="仿宋_GB2312" w:eastAsia="仿宋_GB2312" w:cs="仿宋_GB2312"/>
          <w:szCs w:val="32"/>
        </w:rPr>
        <w:t>辅助器具配置服务的工作措施，</w:t>
      </w:r>
      <w:r>
        <w:rPr>
          <w:rFonts w:hint="eastAsia" w:ascii="仿宋_GB2312" w:hAnsi="仿宋" w:eastAsia="仿宋_GB2312"/>
          <w:color w:val="000000"/>
          <w:szCs w:val="32"/>
        </w:rPr>
        <w:t>指定一名</w:t>
      </w:r>
      <w:r>
        <w:rPr>
          <w:rFonts w:ascii="仿宋_GB2312" w:hAnsi="仿宋" w:eastAsia="仿宋_GB2312"/>
          <w:color w:val="000000"/>
          <w:szCs w:val="32"/>
        </w:rPr>
        <w:t>机构负责人</w:t>
      </w:r>
      <w:r>
        <w:rPr>
          <w:rFonts w:hint="eastAsia" w:ascii="仿宋_GB2312" w:hAnsi="仿宋" w:eastAsia="仿宋_GB2312"/>
          <w:color w:val="000000"/>
          <w:szCs w:val="32"/>
        </w:rPr>
        <w:t>和至少一名专（兼）职管理人员负责工伤辅助器具配置服务管理工作，并报甲方备案。乙方应加强内部关于工伤保险相关政策及法律法规的培训，</w:t>
      </w:r>
      <w:r>
        <w:rPr>
          <w:rFonts w:hint="eastAsia" w:ascii="仿宋_GB2312" w:hAnsi="仿宋_GB2312" w:eastAsia="仿宋_GB2312" w:cs="仿宋_GB2312"/>
          <w:kern w:val="0"/>
          <w:szCs w:val="32"/>
        </w:rPr>
        <w:t>每年不少于一次，</w:t>
      </w:r>
      <w:r>
        <w:rPr>
          <w:rFonts w:hint="eastAsia" w:ascii="仿宋_GB2312" w:hAnsi="仿宋" w:eastAsia="仿宋_GB2312"/>
          <w:color w:val="000000"/>
          <w:szCs w:val="32"/>
        </w:rPr>
        <w:t>建立培训档案并留存备查。</w:t>
      </w:r>
    </w:p>
    <w:p w14:paraId="1253C66D">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乙方应在协议期内对照协议内容和考核评价办法，对本单位工伤管理制度和本协议的执行情况、工伤辅助器具配置服务情况、工伤辅助器具配置费用情况、工伤辅助器具配置信息系统运行情况等进行自查，并将自查报告、考核评分表、佐证材料和整改结果按规定时间报甲方。</w:t>
      </w:r>
    </w:p>
    <w:p w14:paraId="1E226C28">
      <w:pPr>
        <w:ind w:firstLine="592" w:firstLineChars="185"/>
        <w:contextualSpacing/>
        <w:rPr>
          <w:rFonts w:hint="eastAsia" w:ascii="仿宋_GB2312" w:hAnsi="仿宋" w:eastAsia="仿宋_GB2312"/>
          <w:color w:val="000000"/>
          <w:szCs w:val="32"/>
        </w:rPr>
      </w:pPr>
      <w:r>
        <w:rPr>
          <w:rFonts w:hint="eastAsia" w:ascii="仿宋_GB2312" w:hAnsi="仿宋" w:eastAsia="仿宋_GB2312"/>
          <w:color w:val="000000"/>
          <w:szCs w:val="32"/>
        </w:rPr>
        <w:t>签订本协议后，乙方应在本单位显要位置悬挂工伤保险辅助器具配置协议机构标牌，并妥善保管、维护，不得复制、伪造、仿造、转让或损毁。</w:t>
      </w:r>
    </w:p>
    <w:p w14:paraId="5F8E065F">
      <w:pPr>
        <w:pStyle w:val="6"/>
        <w:ind w:firstLine="640" w:firstLineChars="200"/>
        <w:contextualSpacing/>
        <w:rPr>
          <w:rFonts w:hint="eastAsia" w:ascii="仿宋_GB2312" w:hAnsi="仿宋" w:eastAsia="仿宋_GB2312"/>
          <w:color w:val="000000"/>
          <w:kern w:val="2"/>
          <w:sz w:val="32"/>
          <w:szCs w:val="32"/>
        </w:rPr>
      </w:pPr>
      <w:r>
        <w:rPr>
          <w:rFonts w:hint="eastAsia" w:ascii="仿宋_GB2312" w:hAnsi="仿宋" w:eastAsia="仿宋_GB2312"/>
          <w:color w:val="000000"/>
          <w:kern w:val="2"/>
          <w:sz w:val="32"/>
          <w:szCs w:val="32"/>
        </w:rPr>
        <w:t>乙方应设置“工伤辅助器具配置政策宣传栏”，并将工伤辅助器具配置须知、工伤辅助器具配置的主要政策规定和</w:t>
      </w:r>
      <w:r>
        <w:rPr>
          <w:rFonts w:ascii="仿宋_GB2312" w:hAnsi="仿宋" w:eastAsia="仿宋_GB2312"/>
          <w:color w:val="000000"/>
          <w:kern w:val="2"/>
          <w:sz w:val="32"/>
          <w:szCs w:val="32"/>
        </w:rPr>
        <w:t>投诉举报电话</w:t>
      </w:r>
      <w:r>
        <w:rPr>
          <w:rFonts w:hint="eastAsia" w:ascii="仿宋_GB2312" w:hAnsi="仿宋" w:eastAsia="仿宋_GB2312"/>
          <w:color w:val="000000"/>
          <w:kern w:val="2"/>
          <w:sz w:val="32"/>
          <w:szCs w:val="32"/>
        </w:rPr>
        <w:t>向工伤职工公布，为工伤职工提供咨询服务，处理工伤职工对本单位工伤辅助器具配置服务的投诉，并留存投诉举报记录、处理情况等相关资料备查。</w:t>
      </w:r>
    </w:p>
    <w:p w14:paraId="3857662C">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协议履行期间，乙方单位名称、法人代表、执业</w:t>
      </w:r>
      <w:r>
        <w:rPr>
          <w:rFonts w:ascii="仿宋_GB2312" w:hAnsi="仿宋" w:eastAsia="仿宋_GB2312"/>
          <w:color w:val="000000"/>
          <w:szCs w:val="32"/>
        </w:rPr>
        <w:t>地址、</w:t>
      </w:r>
      <w:r>
        <w:rPr>
          <w:rFonts w:hint="eastAsia" w:ascii="仿宋_GB2312" w:hAnsi="仿宋" w:eastAsia="仿宋_GB2312"/>
          <w:color w:val="000000"/>
          <w:szCs w:val="32"/>
        </w:rPr>
        <w:t>所有制形式、经营类别</w:t>
      </w:r>
      <w:r>
        <w:rPr>
          <w:rFonts w:ascii="仿宋_GB2312" w:hAnsi="仿宋" w:eastAsia="仿宋_GB2312"/>
          <w:color w:val="000000"/>
          <w:szCs w:val="32"/>
        </w:rPr>
        <w:t>（</w:t>
      </w:r>
      <w:r>
        <w:rPr>
          <w:rFonts w:hint="eastAsia" w:ascii="仿宋_GB2312" w:hAnsi="仿宋" w:eastAsia="仿宋_GB2312"/>
          <w:color w:val="000000"/>
          <w:szCs w:val="32"/>
        </w:rPr>
        <w:t>营利</w:t>
      </w:r>
      <w:r>
        <w:rPr>
          <w:rFonts w:ascii="仿宋_GB2312" w:hAnsi="仿宋" w:eastAsia="仿宋_GB2312"/>
          <w:color w:val="000000"/>
          <w:szCs w:val="32"/>
        </w:rPr>
        <w:t>性/非营利性）</w:t>
      </w:r>
      <w:r>
        <w:rPr>
          <w:rFonts w:hint="eastAsia" w:ascii="仿宋_GB2312" w:hAnsi="仿宋" w:eastAsia="仿宋_GB2312"/>
          <w:color w:val="000000"/>
          <w:szCs w:val="32"/>
        </w:rPr>
        <w:t>、</w:t>
      </w:r>
      <w:r>
        <w:rPr>
          <w:rFonts w:ascii="仿宋_GB2312" w:hAnsi="仿宋" w:eastAsia="仿宋_GB2312"/>
          <w:color w:val="000000"/>
          <w:szCs w:val="32"/>
        </w:rPr>
        <w:t>主管部门</w:t>
      </w:r>
      <w:r>
        <w:rPr>
          <w:rFonts w:hint="eastAsia" w:ascii="仿宋_GB2312" w:hAnsi="仿宋" w:eastAsia="仿宋_GB2312"/>
          <w:color w:val="000000"/>
          <w:szCs w:val="32"/>
        </w:rPr>
        <w:t>、辅</w:t>
      </w:r>
      <w:r>
        <w:rPr>
          <w:rFonts w:ascii="仿宋_GB2312" w:hAnsi="仿宋" w:eastAsia="仿宋_GB2312"/>
          <w:color w:val="000000"/>
          <w:szCs w:val="32"/>
        </w:rPr>
        <w:t>助器</w:t>
      </w:r>
      <w:r>
        <w:rPr>
          <w:rFonts w:hint="eastAsia" w:ascii="仿宋_GB2312" w:hAnsi="仿宋" w:eastAsia="仿宋_GB2312"/>
          <w:color w:val="000000"/>
          <w:szCs w:val="32"/>
        </w:rPr>
        <w:t>具行业生产装配资格证、人员职业技能证书等基本信息发生变更的，应当在有关主管部门批准变更登记后30日内，向甲方申请变更，甲方予以变更备案。</w:t>
      </w:r>
      <w:r>
        <w:rPr>
          <w:rFonts w:ascii="Times New Roman" w:hAnsi="Times New Roman" w:eastAsia="仿宋_GB2312"/>
          <w:kern w:val="0"/>
          <w:szCs w:val="32"/>
          <w:lang w:bidi="ar"/>
        </w:rPr>
        <w:t>乙方未按规定备案的，甲方暂停费用结算直至备案完成。</w:t>
      </w:r>
    </w:p>
    <w:p w14:paraId="18DE1CAB">
      <w:pPr>
        <w:autoSpaceDE w:val="0"/>
        <w:autoSpaceDN w:val="0"/>
        <w:adjustRightInd w:val="0"/>
        <w:ind w:firstLine="640" w:firstLineChars="200"/>
        <w:contextualSpacing/>
        <w:rPr>
          <w:rFonts w:ascii="仿宋_GB2312" w:hAnsi="仿宋" w:eastAsia="仿宋_GB2312"/>
          <w:bCs/>
          <w:szCs w:val="32"/>
        </w:rPr>
      </w:pPr>
      <w:r>
        <w:rPr>
          <w:rFonts w:hint="eastAsia" w:ascii="黑体" w:hAnsi="黑体" w:eastAsia="黑体"/>
          <w:szCs w:val="32"/>
        </w:rPr>
        <w:t>第五条</w:t>
      </w:r>
      <w:r>
        <w:rPr>
          <w:rFonts w:hint="eastAsia" w:ascii="仿宋_GB2312" w:hAnsi="仿宋" w:eastAsia="仿宋_GB2312"/>
          <w:b/>
          <w:szCs w:val="32"/>
        </w:rPr>
        <w:t xml:space="preserve"> </w:t>
      </w:r>
      <w:r>
        <w:rPr>
          <w:rFonts w:ascii="仿宋_GB2312" w:hAnsi="仿宋" w:eastAsia="仿宋_GB2312"/>
          <w:b/>
          <w:szCs w:val="32"/>
        </w:rPr>
        <w:t xml:space="preserve"> </w:t>
      </w:r>
      <w:r>
        <w:rPr>
          <w:rFonts w:hint="eastAsia" w:ascii="仿宋_GB2312" w:hAnsi="仿宋" w:eastAsia="仿宋_GB2312"/>
          <w:bCs/>
          <w:szCs w:val="32"/>
        </w:rPr>
        <w:t>乙方为工伤职工配置辅助器具</w:t>
      </w:r>
      <w:r>
        <w:rPr>
          <w:rFonts w:ascii="仿宋_GB2312" w:hAnsi="仿宋" w:eastAsia="仿宋_GB2312"/>
          <w:bCs/>
          <w:szCs w:val="32"/>
        </w:rPr>
        <w:t>，</w:t>
      </w:r>
      <w:r>
        <w:rPr>
          <w:rFonts w:hint="eastAsia" w:ascii="仿宋_GB2312" w:hAnsi="仿宋" w:eastAsia="仿宋_GB2312"/>
          <w:bCs/>
          <w:szCs w:val="32"/>
        </w:rPr>
        <w:t>符合工伤保险辅助器具配置目录和最高支付限额等管理规定的配置费用，包括安装、维修、训练、更换配件等费用，甲方按规定从工伤保险基金支付。</w:t>
      </w:r>
    </w:p>
    <w:p w14:paraId="1A071B31">
      <w:pPr>
        <w:autoSpaceDE w:val="0"/>
        <w:autoSpaceDN w:val="0"/>
        <w:adjustRightInd w:val="0"/>
        <w:ind w:firstLine="640" w:firstLineChars="200"/>
        <w:contextualSpacing/>
        <w:rPr>
          <w:rFonts w:ascii="仿宋_GB2312" w:hAnsi="仿宋" w:eastAsia="仿宋_GB2312"/>
          <w:bCs/>
          <w:szCs w:val="32"/>
        </w:rPr>
      </w:pPr>
      <w:r>
        <w:rPr>
          <w:rFonts w:hint="eastAsia" w:ascii="仿宋_GB2312" w:hAnsi="仿宋" w:eastAsia="仿宋_GB2312"/>
          <w:bCs/>
          <w:szCs w:val="32"/>
        </w:rPr>
        <w:t>对乙方</w:t>
      </w:r>
      <w:r>
        <w:rPr>
          <w:rFonts w:ascii="仿宋_GB2312" w:hAnsi="仿宋" w:eastAsia="仿宋_GB2312"/>
          <w:bCs/>
          <w:szCs w:val="32"/>
        </w:rPr>
        <w:t>发生的</w:t>
      </w:r>
      <w:r>
        <w:rPr>
          <w:rFonts w:hint="eastAsia" w:ascii="仿宋_GB2312" w:hAnsi="仿宋" w:eastAsia="仿宋_GB2312"/>
          <w:bCs/>
          <w:szCs w:val="32"/>
        </w:rPr>
        <w:t>未经劳动能力鉴定委员会确认、自行配置辅助器具、配置辅助器具超目录或者超出限额部分的，以及其他违反工伤保险有关规定的费用，工伤保险基金不予支付。</w:t>
      </w:r>
    </w:p>
    <w:p w14:paraId="5A9E9E62">
      <w:pPr>
        <w:ind w:firstLine="640" w:firstLineChars="200"/>
        <w:contextualSpacing/>
        <w:rPr>
          <w:rFonts w:ascii="仿宋_GB2312" w:eastAsia="仿宋_GB2312" w:cs="仿宋_GB2312"/>
          <w:kern w:val="0"/>
          <w:szCs w:val="32"/>
        </w:rPr>
      </w:pPr>
      <w:r>
        <w:rPr>
          <w:rFonts w:hint="eastAsia" w:ascii="黑体" w:hAnsi="黑体" w:eastAsia="黑体"/>
          <w:color w:val="000000"/>
          <w:szCs w:val="32"/>
        </w:rPr>
        <w:t>第六条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eastAsia="仿宋_GB2312" w:cs="仿宋_GB2312"/>
          <w:kern w:val="0"/>
          <w:szCs w:val="32"/>
        </w:rPr>
        <w:t>甲方应加强对乙方辅助器具</w:t>
      </w:r>
      <w:r>
        <w:rPr>
          <w:rFonts w:ascii="仿宋_GB2312" w:eastAsia="仿宋_GB2312" w:cs="仿宋_GB2312"/>
          <w:kern w:val="0"/>
          <w:szCs w:val="32"/>
        </w:rPr>
        <w:t>配置</w:t>
      </w:r>
      <w:r>
        <w:rPr>
          <w:rFonts w:hint="eastAsia" w:ascii="仿宋_GB2312" w:eastAsia="仿宋_GB2312" w:cs="仿宋_GB2312"/>
          <w:kern w:val="0"/>
          <w:szCs w:val="32"/>
        </w:rPr>
        <w:t>服务行为的监管。乙方有违约违规行为的，甲方依据有关规定和本协议约定，视情节轻重采取相应处理措施。乙方应积极配合甲方开展各项监督检查和考核工作。</w:t>
      </w:r>
    </w:p>
    <w:p w14:paraId="16304A02">
      <w:pPr>
        <w:ind w:firstLine="640" w:firstLineChars="200"/>
        <w:contextualSpacing/>
        <w:rPr>
          <w:rFonts w:ascii="仿宋_GB2312" w:eastAsia="仿宋_GB2312" w:cs="仿宋_GB2312"/>
          <w:kern w:val="0"/>
          <w:szCs w:val="32"/>
          <w:lang w:val="en"/>
        </w:rPr>
      </w:pPr>
      <w:r>
        <w:rPr>
          <w:rFonts w:hint="eastAsia" w:ascii="黑体" w:hAnsi="黑体" w:eastAsia="黑体" w:cs="仿宋_GB2312"/>
          <w:bCs/>
          <w:kern w:val="0"/>
          <w:szCs w:val="32"/>
        </w:rPr>
        <w:t>第七条</w:t>
      </w:r>
      <w:r>
        <w:rPr>
          <w:rFonts w:hint="eastAsia" w:ascii="仿宋_GB2312" w:eastAsia="仿宋_GB2312" w:cs="仿宋_GB2312"/>
          <w:kern w:val="0"/>
          <w:szCs w:val="32"/>
        </w:rPr>
        <w:t xml:space="preserve"> </w:t>
      </w:r>
      <w:r>
        <w:rPr>
          <w:rFonts w:ascii="仿宋_GB2312" w:eastAsia="仿宋_GB2312" w:cs="仿宋_GB2312"/>
          <w:kern w:val="0"/>
          <w:szCs w:val="32"/>
        </w:rPr>
        <w:t xml:space="preserve"> </w:t>
      </w:r>
      <w:r>
        <w:rPr>
          <w:rFonts w:hint="eastAsia" w:ascii="仿宋_GB2312" w:eastAsia="仿宋_GB2312" w:cs="仿宋_GB2312"/>
          <w:kern w:val="0"/>
          <w:szCs w:val="32"/>
        </w:rPr>
        <w:t>甲乙双方有义务对互相提供的有关资料承担保密责任，并妥善保管有关资料。</w:t>
      </w:r>
    </w:p>
    <w:p w14:paraId="384F1362">
      <w:pPr>
        <w:ind w:firstLine="640" w:firstLineChars="200"/>
        <w:contextualSpacing/>
        <w:rPr>
          <w:rFonts w:hint="eastAsia" w:ascii="仿宋_GB2312" w:hAnsi="仿宋_GB2312" w:eastAsia="仿宋_GB2312" w:cs="仿宋_GB2312"/>
          <w:szCs w:val="32"/>
        </w:rPr>
      </w:pPr>
      <w:r>
        <w:rPr>
          <w:rFonts w:hint="eastAsia" w:ascii="黑体" w:hAnsi="黑体" w:eastAsia="黑体" w:cs="仿宋_GB2312"/>
          <w:bCs/>
          <w:kern w:val="0"/>
          <w:szCs w:val="32"/>
        </w:rPr>
        <w:t>第八条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hAnsi="仿宋_GB2312" w:eastAsia="仿宋_GB2312" w:cs="仿宋_GB2312"/>
          <w:szCs w:val="32"/>
        </w:rPr>
        <w:t>甲乙双方应加强工伤保险信息化建设。甲方负责向乙方提供江西省社会保险信息系统技术规范，指导乙方按照统一的接口规范进行接口改造和系统对接；乙方应建立完善符合甲方接口标准和技术规范的工伤辅助器具配置信息系统，实现与甲方信息系统有效对接和工伤</w:t>
      </w:r>
      <w:r>
        <w:rPr>
          <w:rFonts w:hint="eastAsia" w:ascii="仿宋_GB2312" w:eastAsia="仿宋_GB2312" w:cs="仿宋_GB2312"/>
          <w:kern w:val="0"/>
          <w:szCs w:val="32"/>
        </w:rPr>
        <w:t>辅助器具</w:t>
      </w:r>
      <w:r>
        <w:rPr>
          <w:rFonts w:ascii="仿宋_GB2312" w:eastAsia="仿宋_GB2312" w:cs="仿宋_GB2312"/>
          <w:kern w:val="0"/>
          <w:szCs w:val="32"/>
        </w:rPr>
        <w:t>配置</w:t>
      </w:r>
      <w:r>
        <w:rPr>
          <w:rFonts w:hint="eastAsia" w:ascii="仿宋_GB2312" w:hAnsi="仿宋_GB2312" w:eastAsia="仿宋_GB2312" w:cs="仿宋_GB2312"/>
          <w:szCs w:val="32"/>
        </w:rPr>
        <w:t>费用联网结算。甲乙双方各自承担系统建设及维护的相关费用。</w:t>
      </w:r>
    </w:p>
    <w:p w14:paraId="6F54EF43">
      <w:pPr>
        <w:pStyle w:val="8"/>
        <w:spacing w:before="0" w:after="0"/>
        <w:contextualSpacing/>
        <w:rPr>
          <w:rFonts w:ascii="黑体" w:hAnsi="黑体" w:eastAsia="黑体"/>
          <w:b w:val="0"/>
          <w:color w:val="000000"/>
        </w:rPr>
      </w:pPr>
      <w:r>
        <w:rPr>
          <w:rFonts w:hint="eastAsia" w:ascii="黑体" w:hAnsi="黑体" w:eastAsia="黑体"/>
          <w:b w:val="0"/>
          <w:color w:val="000000"/>
        </w:rPr>
        <w:t>第二章  配置服务管理</w:t>
      </w:r>
    </w:p>
    <w:p w14:paraId="79C3AD2E">
      <w:pPr>
        <w:ind w:firstLine="640" w:firstLineChars="200"/>
        <w:contextualSpacing/>
        <w:rPr>
          <w:rFonts w:ascii="仿宋_GB2312" w:hAnsi="仿宋" w:eastAsia="仿宋_GB2312"/>
          <w:color w:val="000000"/>
          <w:szCs w:val="32"/>
        </w:rPr>
      </w:pPr>
      <w:r>
        <w:rPr>
          <w:rFonts w:hint="eastAsia" w:ascii="黑体" w:hAnsi="黑体" w:eastAsia="黑体" w:cs="仿宋_GB2312"/>
          <w:bCs/>
          <w:kern w:val="0"/>
          <w:szCs w:val="32"/>
        </w:rPr>
        <w:t>第九条</w:t>
      </w:r>
      <w:r>
        <w:rPr>
          <w:rFonts w:hint="eastAsia" w:ascii="仿宋_GB2312" w:hAnsi="仿宋" w:eastAsia="仿宋_GB2312"/>
          <w:color w:val="000000"/>
          <w:szCs w:val="32"/>
        </w:rPr>
        <w:t xml:space="preserve"> </w:t>
      </w:r>
      <w:r>
        <w:rPr>
          <w:rFonts w:ascii="仿宋_GB2312" w:hAnsi="仿宋" w:eastAsia="仿宋_GB2312"/>
          <w:color w:val="000000"/>
          <w:szCs w:val="32"/>
        </w:rPr>
        <w:t xml:space="preserve"> </w:t>
      </w:r>
      <w:r>
        <w:rPr>
          <w:rFonts w:hint="eastAsia" w:ascii="仿宋_GB2312" w:hAnsi="仿宋" w:eastAsia="仿宋_GB2312"/>
          <w:color w:val="000000"/>
          <w:szCs w:val="32"/>
        </w:rPr>
        <w:t>乙方在工伤职工办理辅助器具配置手续时，应认真进行身份和证件识别。乙方应按有关规定通过社保卡联网查验工伤职工身份和配置费用核付通知单等信息。发现人、卡不符或核付通知单有涂改或</w:t>
      </w:r>
      <w:r>
        <w:rPr>
          <w:rFonts w:ascii="仿宋_GB2312" w:hAnsi="仿宋" w:eastAsia="仿宋_GB2312"/>
          <w:color w:val="000000"/>
          <w:szCs w:val="32"/>
        </w:rPr>
        <w:t>其他</w:t>
      </w:r>
      <w:r>
        <w:rPr>
          <w:rFonts w:hint="eastAsia" w:ascii="仿宋_GB2312" w:hAnsi="仿宋" w:eastAsia="仿宋_GB2312"/>
          <w:color w:val="000000"/>
          <w:szCs w:val="32"/>
        </w:rPr>
        <w:t>异常时应不予记账辅助器具配置费用并及时通知甲方。</w:t>
      </w:r>
    </w:p>
    <w:p w14:paraId="75BFAC52">
      <w:pPr>
        <w:ind w:firstLine="640" w:firstLineChars="200"/>
        <w:contextualSpacing/>
        <w:rPr>
          <w:rFonts w:hint="eastAsia" w:ascii="仿宋_GB2312" w:hAnsi="仿宋" w:eastAsia="仿宋_GB2312"/>
          <w:color w:val="000000"/>
          <w:szCs w:val="32"/>
        </w:rPr>
      </w:pPr>
      <w:r>
        <w:rPr>
          <w:rFonts w:hint="eastAsia" w:ascii="黑体" w:hAnsi="黑体" w:eastAsia="黑体" w:cs="仿宋_GB2312"/>
          <w:bCs/>
          <w:kern w:val="0"/>
          <w:szCs w:val="32"/>
        </w:rPr>
        <w:t xml:space="preserve">第十条  </w:t>
      </w:r>
      <w:r>
        <w:rPr>
          <w:rFonts w:hint="eastAsia" w:ascii="仿宋_GB2312" w:hAnsi="仿宋" w:eastAsia="仿宋_GB2312"/>
          <w:color w:val="000000"/>
          <w:szCs w:val="32"/>
        </w:rPr>
        <w:t>乙方应按核付通知单中载明的配置项目和配置标准，为工伤职工配置辅助器具，并应严格执行相关规定，做到合理检查、合理配置、合理收费。针对</w:t>
      </w:r>
      <w:r>
        <w:rPr>
          <w:rFonts w:ascii="Times New Roman" w:hAnsi="Times New Roman" w:eastAsia="仿宋_GB2312"/>
          <w:kern w:val="0"/>
          <w:szCs w:val="32"/>
          <w:lang w:bidi="ar"/>
        </w:rPr>
        <w:t>服务年限、服务方式等条件一致的同一品牌</w:t>
      </w:r>
      <w:r>
        <w:rPr>
          <w:rFonts w:hint="eastAsia" w:ascii="Times New Roman" w:hAnsi="Times New Roman" w:eastAsia="仿宋_GB2312"/>
          <w:kern w:val="0"/>
          <w:szCs w:val="32"/>
          <w:lang w:bidi="ar"/>
        </w:rPr>
        <w:t>、</w:t>
      </w:r>
      <w:r>
        <w:rPr>
          <w:rFonts w:ascii="Times New Roman" w:hAnsi="Times New Roman" w:eastAsia="仿宋_GB2312"/>
          <w:kern w:val="0"/>
          <w:szCs w:val="32"/>
          <w:lang w:bidi="ar"/>
        </w:rPr>
        <w:t>型号、规格、</w:t>
      </w:r>
      <w:r>
        <w:rPr>
          <w:rFonts w:hint="eastAsia" w:ascii="Times New Roman" w:hAnsi="Times New Roman" w:eastAsia="仿宋_GB2312"/>
          <w:kern w:val="0"/>
          <w:szCs w:val="32"/>
          <w:lang w:bidi="ar"/>
        </w:rPr>
        <w:t>材质</w:t>
      </w:r>
      <w:r>
        <w:rPr>
          <w:rFonts w:ascii="Times New Roman" w:hAnsi="Times New Roman" w:eastAsia="仿宋_GB2312"/>
          <w:kern w:val="0"/>
          <w:szCs w:val="32"/>
          <w:lang w:bidi="ar"/>
        </w:rPr>
        <w:t>辅助器具，执行的销售价格应与非工伤职工购买的公允价格一致，不得设置差异化定价。同时确保所提供辅助器具质量与价格匹配，杜绝以次充好、质价不符现象。</w:t>
      </w:r>
    </w:p>
    <w:p w14:paraId="33C63FA2">
      <w:pPr>
        <w:ind w:firstLine="640" w:firstLineChars="200"/>
        <w:contextualSpacing/>
        <w:jc w:val="left"/>
        <w:rPr>
          <w:rFonts w:hint="eastAsia" w:ascii="仿宋_GB2312" w:hAnsi="仿宋" w:eastAsia="仿宋_GB2312"/>
          <w:color w:val="000000"/>
          <w:szCs w:val="32"/>
        </w:rPr>
      </w:pPr>
      <w:r>
        <w:rPr>
          <w:rFonts w:hint="eastAsia" w:ascii="黑体" w:hAnsi="黑体" w:eastAsia="黑体"/>
          <w:color w:val="000000"/>
          <w:szCs w:val="32"/>
        </w:rPr>
        <w:t>第十一条</w:t>
      </w:r>
      <w:r>
        <w:rPr>
          <w:rFonts w:hint="eastAsia" w:ascii="仿宋_GB2312" w:hAnsi="仿宋" w:eastAsia="仿宋_GB2312"/>
          <w:color w:val="000000"/>
          <w:szCs w:val="32"/>
        </w:rPr>
        <w:t xml:space="preserve"> </w:t>
      </w:r>
      <w:r>
        <w:rPr>
          <w:rFonts w:ascii="仿宋_GB2312" w:hAnsi="仿宋" w:eastAsia="仿宋_GB2312"/>
          <w:color w:val="000000"/>
          <w:szCs w:val="32"/>
        </w:rPr>
        <w:t xml:space="preserve"> </w:t>
      </w:r>
      <w:r>
        <w:rPr>
          <w:rFonts w:hint="eastAsia" w:ascii="仿宋_GB2312" w:hAnsi="仿宋" w:eastAsia="仿宋_GB2312"/>
          <w:color w:val="000000"/>
          <w:szCs w:val="32"/>
        </w:rPr>
        <w:t>乙方为工伤职工配置的辅助器具应当符合相关国家标准或者行业标准，</w:t>
      </w:r>
      <w:r>
        <w:rPr>
          <w:rFonts w:ascii="Times New Roman" w:hAnsi="Times New Roman" w:eastAsia="仿宋_GB2312"/>
          <w:kern w:val="0"/>
          <w:szCs w:val="32"/>
          <w:lang w:bidi="ar"/>
        </w:rPr>
        <w:t>不得将辅助器具配置业务转包、委托给其他单位或个人开展，否则甲方有权立即解除主协议及补充协议，并追究乙方违约责任</w:t>
      </w:r>
      <w:r>
        <w:rPr>
          <w:rFonts w:hint="eastAsia" w:ascii="仿宋_GB2312" w:hAnsi="仿宋" w:eastAsia="仿宋_GB2312"/>
          <w:color w:val="000000"/>
          <w:szCs w:val="32"/>
        </w:rPr>
        <w:t>。</w:t>
      </w:r>
    </w:p>
    <w:p w14:paraId="6AAEFF4B">
      <w:pPr>
        <w:ind w:firstLine="640" w:firstLineChars="200"/>
        <w:contextualSpacing/>
        <w:jc w:val="left"/>
        <w:rPr>
          <w:rFonts w:hint="eastAsia" w:ascii="仿宋_GB2312" w:hAnsi="仿宋" w:eastAsia="仿宋_GB2312"/>
          <w:color w:val="000000"/>
          <w:szCs w:val="32"/>
        </w:rPr>
      </w:pPr>
      <w:r>
        <w:rPr>
          <w:rFonts w:hint="eastAsia" w:ascii="仿宋_GB2312" w:hAnsi="仿宋" w:eastAsia="仿宋_GB2312"/>
          <w:color w:val="000000"/>
          <w:szCs w:val="32"/>
        </w:rPr>
        <w:t>统一规格的产品或者材料等辅助器具在装配前应当由国家授权的产品质量检测机构出具质量检测报告，标注生产厂家、产品品牌、型号、规格、材质、功能、出品日期、使用期和保修期等事项。</w:t>
      </w:r>
    </w:p>
    <w:p w14:paraId="6264686C">
      <w:pPr>
        <w:pStyle w:val="2"/>
        <w:ind w:firstLine="632"/>
        <w:contextualSpacing/>
      </w:pPr>
      <w:r>
        <w:rPr>
          <w:rFonts w:ascii="Times New Roman" w:hAnsi="Times New Roman" w:eastAsia="仿宋_GB2312"/>
          <w:kern w:val="0"/>
          <w:szCs w:val="32"/>
          <w:lang w:bidi="ar"/>
        </w:rPr>
        <w:t>乙方须对辅助器具及主要部件采取唯一性标识措施（如激光打码、电子标签等），标识信息应包含工伤职工姓名、身份证号后6位、配置日期、器具编码等关键信息。确因技术或产品特性无法实施标识的，乙方应提前向甲方提交书面备案申请，说明原因及替代追溯方案，经甲方同意后方可实施。</w:t>
      </w:r>
    </w:p>
    <w:p w14:paraId="6488DFE4">
      <w:pPr>
        <w:ind w:firstLine="640" w:firstLineChars="200"/>
        <w:contextualSpacing/>
        <w:jc w:val="left"/>
        <w:rPr>
          <w:rFonts w:ascii="Times New Roman" w:hAnsi="Times New Roman" w:eastAsia="仿宋_GB2312"/>
          <w:kern w:val="0"/>
          <w:szCs w:val="32"/>
          <w:lang w:bidi="ar"/>
        </w:rPr>
      </w:pPr>
      <w:r>
        <w:rPr>
          <w:rFonts w:hint="eastAsia" w:ascii="黑体" w:hAnsi="黑体" w:eastAsia="黑体"/>
          <w:color w:val="000000"/>
          <w:szCs w:val="32"/>
        </w:rPr>
        <w:t>第十二条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ascii="Times New Roman" w:hAnsi="Times New Roman" w:eastAsia="仿宋_GB2312"/>
          <w:kern w:val="0"/>
          <w:szCs w:val="32"/>
          <w:lang w:bidi="ar"/>
        </w:rPr>
        <w:t>乙方应在经营场所显著位置设置价格公示栏，清晰公示纳入配置目录的辅助器具名称、型号、规格、材质、售价、适用范围、工伤保险最高支付限额及最低使用年限等信息，公示内容需真实准确、更新及时。甲方对公示情况进行常态化检查，发现未公示或公示信息不实的，予以约谈并责令限期整改；情节严重的，扣减年度考核分数。</w:t>
      </w:r>
    </w:p>
    <w:p w14:paraId="1F1174A8">
      <w:pPr>
        <w:widowControl/>
        <w:ind w:firstLine="640" w:firstLineChars="200"/>
        <w:contextualSpacing/>
        <w:jc w:val="left"/>
        <w:rPr>
          <w:rFonts w:ascii="Times New Roman" w:hAnsi="Times New Roman" w:eastAsia="仿宋_GB2312"/>
          <w:kern w:val="0"/>
          <w:szCs w:val="32"/>
          <w:lang w:bidi="ar"/>
        </w:rPr>
      </w:pPr>
      <w:r>
        <w:rPr>
          <w:rFonts w:hint="eastAsia" w:ascii="黑体" w:hAnsi="黑体" w:eastAsia="黑体"/>
          <w:color w:val="000000"/>
          <w:szCs w:val="32"/>
        </w:rPr>
        <w:t>第十三条</w:t>
      </w:r>
      <w:r>
        <w:rPr>
          <w:rFonts w:hint="eastAsia" w:ascii="仿宋_GB2312" w:hAnsi="仿宋" w:eastAsia="仿宋_GB2312"/>
          <w:color w:val="000000"/>
          <w:szCs w:val="32"/>
        </w:rPr>
        <w:t xml:space="preserve">  </w:t>
      </w:r>
      <w:r>
        <w:rPr>
          <w:rFonts w:ascii="Times New Roman" w:hAnsi="Times New Roman" w:eastAsia="仿宋_GB2312"/>
          <w:kern w:val="0"/>
          <w:szCs w:val="32"/>
          <w:lang w:bidi="ar"/>
        </w:rPr>
        <w:t>乙方配置辅助器具应遵循“适配性、合理性、经济性”原则，以保障辅助器具质量为前提，合理确定销售价格，加价水平与产品服务成本、市场供求状况及行业公允水平相匹配。</w:t>
      </w:r>
    </w:p>
    <w:p w14:paraId="48D24B67">
      <w:pPr>
        <w:widowControl/>
        <w:ind w:firstLine="640" w:firstLineChars="200"/>
        <w:contextualSpacing/>
        <w:jc w:val="left"/>
        <w:rPr>
          <w:rFonts w:ascii="Times New Roman" w:hAnsi="Times New Roman" w:eastAsia="仿宋_GB2312"/>
          <w:kern w:val="0"/>
          <w:szCs w:val="32"/>
          <w:lang w:bidi="ar"/>
        </w:rPr>
      </w:pPr>
      <w:r>
        <w:rPr>
          <w:rFonts w:ascii="Times New Roman" w:hAnsi="Times New Roman" w:eastAsia="仿宋_GB2312"/>
          <w:kern w:val="0"/>
          <w:szCs w:val="32"/>
          <w:lang w:bidi="ar"/>
        </w:rPr>
        <w:t>（1）定制类辅助器具（如假肢、矫形器等）：此类产品需经专业评估、个性化设计、手工制作、反复调试及后期维护，技术服务成本占比高，加价率不得高于</w:t>
      </w:r>
      <w:r>
        <w:rPr>
          <w:rFonts w:hint="eastAsia" w:ascii="Times New Roman" w:hAnsi="Times New Roman" w:eastAsia="仿宋_GB2312"/>
          <w:kern w:val="0"/>
          <w:szCs w:val="32"/>
          <w:u w:val="single"/>
          <w:lang w:bidi="ar"/>
        </w:rPr>
        <w:t>100</w:t>
      </w:r>
      <w:r>
        <w:rPr>
          <w:rFonts w:ascii="Times New Roman" w:hAnsi="Times New Roman" w:eastAsia="仿宋_GB2312"/>
          <w:kern w:val="0"/>
          <w:szCs w:val="32"/>
          <w:lang w:bidi="ar"/>
        </w:rPr>
        <w:t>%（即材料成本不得低于售价的</w:t>
      </w:r>
      <w:r>
        <w:rPr>
          <w:rFonts w:hint="eastAsia" w:ascii="Times New Roman" w:hAnsi="Times New Roman" w:eastAsia="仿宋_GB2312"/>
          <w:kern w:val="0"/>
          <w:szCs w:val="32"/>
          <w:u w:val="single"/>
          <w:lang w:bidi="ar"/>
        </w:rPr>
        <w:t>50</w:t>
      </w:r>
      <w:r>
        <w:rPr>
          <w:rFonts w:ascii="Times New Roman" w:hAnsi="Times New Roman" w:eastAsia="仿宋_GB2312"/>
          <w:kern w:val="0"/>
          <w:szCs w:val="32"/>
          <w:lang w:bidi="ar"/>
        </w:rPr>
        <w:t>%）。乙方需保障定制产品的材质质量、制作工艺符合适配需求，加价部分应对应合理的技术服务及质量保障成本。</w:t>
      </w:r>
    </w:p>
    <w:p w14:paraId="58775531">
      <w:pPr>
        <w:widowControl/>
        <w:ind w:firstLine="640" w:firstLineChars="200"/>
        <w:contextualSpacing/>
        <w:jc w:val="left"/>
        <w:rPr>
          <w:rFonts w:ascii="Times New Roman" w:hAnsi="Times New Roman" w:eastAsia="仿宋_GB2312"/>
          <w:kern w:val="0"/>
          <w:szCs w:val="32"/>
          <w:lang w:bidi="ar"/>
        </w:rPr>
      </w:pPr>
      <w:r>
        <w:rPr>
          <w:rFonts w:ascii="Times New Roman" w:hAnsi="Times New Roman" w:eastAsia="仿宋_GB2312"/>
          <w:kern w:val="0"/>
          <w:szCs w:val="32"/>
          <w:lang w:bidi="ar"/>
        </w:rPr>
        <w:t>（2）成品类辅助器具（如护理床、制氧机、轮椅等）：此类产品无需额外加工，但需承担二类医疗器械合规备案、13%增值税、仓储物流、售后保修等成本，加价率不得高于</w:t>
      </w:r>
      <w:r>
        <w:rPr>
          <w:rFonts w:hint="eastAsia" w:ascii="Times New Roman" w:hAnsi="Times New Roman" w:eastAsia="仿宋_GB2312"/>
          <w:kern w:val="0"/>
          <w:szCs w:val="32"/>
          <w:u w:val="single"/>
          <w:lang w:bidi="ar"/>
        </w:rPr>
        <w:t>80</w:t>
      </w:r>
      <w:r>
        <w:rPr>
          <w:rFonts w:ascii="Times New Roman" w:hAnsi="Times New Roman" w:eastAsia="仿宋_GB2312"/>
          <w:kern w:val="0"/>
          <w:szCs w:val="32"/>
          <w:lang w:bidi="ar"/>
        </w:rPr>
        <w:t>%（即材料成本不得低于售价的</w:t>
      </w:r>
      <w:r>
        <w:rPr>
          <w:rFonts w:hint="eastAsia" w:ascii="Times New Roman" w:hAnsi="Times New Roman" w:eastAsia="仿宋_GB2312"/>
          <w:kern w:val="0"/>
          <w:szCs w:val="32"/>
          <w:u w:val="single"/>
          <w:lang w:bidi="ar"/>
        </w:rPr>
        <w:t>55</w:t>
      </w:r>
      <w:r>
        <w:rPr>
          <w:rFonts w:ascii="Times New Roman" w:hAnsi="Times New Roman" w:eastAsia="仿宋_GB2312"/>
          <w:kern w:val="0"/>
          <w:szCs w:val="32"/>
          <w:lang w:bidi="ar"/>
        </w:rPr>
        <w:t>%）。乙方需确保成品辅助器具为合格产品，具备完整的质量检测报告及售后保障，加价部分涵盖合规运营及质量管控成本。</w:t>
      </w:r>
    </w:p>
    <w:p w14:paraId="1CE56AFC">
      <w:pPr>
        <w:widowControl/>
        <w:ind w:firstLine="640" w:firstLineChars="200"/>
        <w:contextualSpacing/>
        <w:jc w:val="left"/>
        <w:rPr>
          <w:rFonts w:ascii="Times New Roman" w:hAnsi="Times New Roman" w:eastAsia="仿宋_GB2312"/>
          <w:kern w:val="0"/>
          <w:szCs w:val="32"/>
          <w:lang w:bidi="ar"/>
        </w:rPr>
      </w:pPr>
      <w:r>
        <w:rPr>
          <w:rFonts w:ascii="Times New Roman" w:hAnsi="Times New Roman" w:eastAsia="仿宋_GB2312"/>
          <w:kern w:val="0"/>
          <w:szCs w:val="32"/>
          <w:lang w:bidi="ar"/>
        </w:rPr>
        <w:t>（3）生活类（一次性）辅助用品（如一次性护理垫等）：乙方应与有需求的工伤职工充分协商选择品牌及确定价格，有官方指导价的其售价不得超过生产厂家的官方指导价，无官方指导价的其加价率不得高于</w:t>
      </w:r>
      <w:r>
        <w:rPr>
          <w:rFonts w:hint="eastAsia" w:ascii="Times New Roman" w:hAnsi="Times New Roman" w:eastAsia="仿宋_GB2312"/>
          <w:kern w:val="0"/>
          <w:szCs w:val="32"/>
          <w:u w:val="single"/>
          <w:lang w:bidi="ar"/>
        </w:rPr>
        <w:t>50</w:t>
      </w:r>
      <w:r>
        <w:rPr>
          <w:rFonts w:ascii="Times New Roman" w:hAnsi="Times New Roman" w:eastAsia="仿宋_GB2312"/>
          <w:kern w:val="0"/>
          <w:szCs w:val="32"/>
          <w:lang w:bidi="ar"/>
        </w:rPr>
        <w:t>%。乙方需优先选择质量合格、性价比高的产品，保障工伤职工使用安全。</w:t>
      </w:r>
    </w:p>
    <w:p w14:paraId="2D0EC8D9">
      <w:pPr>
        <w:ind w:firstLine="640" w:firstLineChars="200"/>
        <w:contextualSpacing/>
        <w:jc w:val="left"/>
        <w:rPr>
          <w:rFonts w:hint="eastAsia" w:ascii="仿宋_GB2312" w:hAnsi="仿宋" w:eastAsia="仿宋_GB2312"/>
          <w:color w:val="000000"/>
          <w:szCs w:val="32"/>
        </w:rPr>
      </w:pPr>
      <w:r>
        <w:rPr>
          <w:rFonts w:hint="eastAsia" w:ascii="Times New Roman" w:hAnsi="Times New Roman" w:eastAsia="仿宋_GB2312"/>
          <w:kern w:val="0"/>
          <w:szCs w:val="32"/>
          <w:lang w:bidi="ar"/>
        </w:rPr>
        <w:t>乙方</w:t>
      </w:r>
      <w:r>
        <w:rPr>
          <w:rFonts w:ascii="Times New Roman" w:hAnsi="Times New Roman" w:eastAsia="仿宋_GB2312"/>
          <w:kern w:val="0"/>
          <w:szCs w:val="32"/>
          <w:lang w:bidi="ar"/>
        </w:rPr>
        <w:t>需优先考量辅助器具质量保障及工伤职工实际权益，避免单纯追求低价而忽视质量。</w:t>
      </w:r>
    </w:p>
    <w:p w14:paraId="20F0F4BA">
      <w:pPr>
        <w:widowControl/>
        <w:ind w:firstLine="640" w:firstLineChars="200"/>
        <w:contextualSpacing/>
        <w:jc w:val="left"/>
        <w:rPr>
          <w:rFonts w:ascii="Times New Roman" w:hAnsi="Times New Roman" w:eastAsia="仿宋_GB2312"/>
          <w:szCs w:val="32"/>
        </w:rPr>
      </w:pPr>
      <w:r>
        <w:rPr>
          <w:rFonts w:ascii="Times New Roman" w:hAnsi="Times New Roman" w:eastAsia="黑体"/>
          <w:kern w:val="0"/>
          <w:szCs w:val="32"/>
          <w:lang w:bidi="ar"/>
        </w:rPr>
        <w:t>第</w:t>
      </w:r>
      <w:r>
        <w:rPr>
          <w:rFonts w:hint="eastAsia" w:ascii="Times New Roman" w:hAnsi="Times New Roman" w:eastAsia="黑体"/>
          <w:kern w:val="0"/>
          <w:szCs w:val="32"/>
          <w:lang w:bidi="ar"/>
        </w:rPr>
        <w:t>十四</w:t>
      </w:r>
      <w:r>
        <w:rPr>
          <w:rFonts w:ascii="Times New Roman" w:hAnsi="Times New Roman" w:eastAsia="黑体"/>
          <w:kern w:val="0"/>
          <w:szCs w:val="32"/>
          <w:lang w:bidi="ar"/>
        </w:rPr>
        <w:t>条</w:t>
      </w:r>
      <w:r>
        <w:rPr>
          <w:rFonts w:ascii="Times New Roman" w:hAnsi="Times New Roman" w:eastAsia="仿宋_GB2312"/>
          <w:kern w:val="0"/>
          <w:szCs w:val="32"/>
          <w:lang w:bidi="ar"/>
        </w:rPr>
        <w:t xml:space="preserve">  乙方应确保其配置的辅助器具质量合格，并与其向甲方申报结算的价格相匹配。不得提供质量不合格或以次充好的产品，并以此按配置目录最高支付限额或较高价格申报结算。甲方在费用审核时，将结合乙方提供的进货凭证、质量检测报告等资料进行核查；对核查发现存在质价严重不符、虚报价格等情形的，不予支付相关费用，已支付的予以追回，并可视情节解除本协议。</w:t>
      </w:r>
    </w:p>
    <w:p w14:paraId="5FC2202B">
      <w:pPr>
        <w:ind w:firstLine="640" w:firstLineChars="200"/>
        <w:contextualSpacing/>
        <w:rPr>
          <w:rFonts w:ascii="仿宋_GB2312" w:hAnsi="仿宋" w:eastAsia="仿宋_GB2312"/>
          <w:color w:val="000000"/>
          <w:szCs w:val="32"/>
        </w:rPr>
      </w:pPr>
      <w:r>
        <w:rPr>
          <w:rFonts w:hint="eastAsia" w:ascii="黑体" w:hAnsi="黑体" w:eastAsia="黑体"/>
          <w:color w:val="000000"/>
          <w:szCs w:val="32"/>
        </w:rPr>
        <w:t>第十五条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hAnsi="仿宋" w:eastAsia="仿宋_GB2312"/>
          <w:color w:val="000000"/>
          <w:szCs w:val="32"/>
        </w:rPr>
        <w:t>乙方为</w:t>
      </w:r>
      <w:r>
        <w:rPr>
          <w:rFonts w:ascii="仿宋_GB2312" w:hAnsi="仿宋" w:eastAsia="仿宋_GB2312"/>
          <w:color w:val="000000"/>
          <w:szCs w:val="32"/>
        </w:rPr>
        <w:t>工伤职工</w:t>
      </w:r>
      <w:r>
        <w:rPr>
          <w:rFonts w:hint="eastAsia" w:ascii="仿宋_GB2312" w:hAnsi="仿宋" w:eastAsia="仿宋_GB2312"/>
          <w:color w:val="000000"/>
          <w:szCs w:val="32"/>
        </w:rPr>
        <w:t>提供的配置服务应包含安装、维修、训练等内容，配置辅助器具时，应就使用该辅助器具提供免费指导和训练服务。</w:t>
      </w:r>
      <w:r>
        <w:rPr>
          <w:rFonts w:hint="eastAsia" w:ascii="Times New Roman" w:hAnsi="Times New Roman" w:eastAsia="仿宋_GB2312"/>
          <w:szCs w:val="32"/>
        </w:rPr>
        <w:t>安装、训练及维修期间，乙方应为工伤职工提供食宿便利。在辅助器具交付使用时应填写产品质量合格证、保修卡、保修期限等，并由工伤人员签字认可。</w:t>
      </w:r>
    </w:p>
    <w:p w14:paraId="6BBE0482">
      <w:pPr>
        <w:ind w:firstLine="640" w:firstLineChars="200"/>
        <w:contextualSpacing/>
        <w:rPr>
          <w:rFonts w:ascii="仿宋_GB2312" w:hAnsi="仿宋" w:eastAsia="仿宋_GB2312"/>
          <w:color w:val="000000"/>
          <w:szCs w:val="32"/>
        </w:rPr>
      </w:pPr>
      <w:r>
        <w:rPr>
          <w:rFonts w:hint="eastAsia" w:ascii="仿宋_GB2312" w:hAnsi="仿宋" w:eastAsia="仿宋_GB2312"/>
          <w:color w:val="000000"/>
          <w:szCs w:val="32"/>
        </w:rPr>
        <w:t>乙方应开展售后服务。工伤职工所配置的辅助器具，乙方在规定的最低使用年限内负责免费维修、更换；到期后工伤职工按规定申请更换的，乙方应按照本协议的要求做好配置服务。</w:t>
      </w:r>
    </w:p>
    <w:p w14:paraId="1DC09678">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乙方因辅助器具配置不当给工伤职工造成新的伤害，应承担工伤职工治疗新的伤害部位的所有费用。</w:t>
      </w:r>
    </w:p>
    <w:p w14:paraId="07D446F8">
      <w:pPr>
        <w:ind w:firstLine="640" w:firstLineChars="200"/>
        <w:contextualSpacing/>
        <w:jc w:val="left"/>
        <w:rPr>
          <w:rFonts w:hint="eastAsia" w:ascii="仿宋_GB2312" w:hAnsi="仿宋" w:eastAsia="仿宋_GB2312"/>
          <w:color w:val="000000"/>
          <w:szCs w:val="32"/>
        </w:rPr>
      </w:pPr>
      <w:r>
        <w:rPr>
          <w:rFonts w:hint="eastAsia" w:ascii="黑体" w:hAnsi="黑体" w:eastAsia="黑体"/>
          <w:color w:val="000000"/>
          <w:szCs w:val="32"/>
        </w:rPr>
        <w:t>第十六条</w:t>
      </w:r>
      <w:r>
        <w:rPr>
          <w:rFonts w:hint="eastAsia" w:ascii="仿宋_GB2312" w:hAnsi="仿宋" w:eastAsia="仿宋_GB2312"/>
          <w:color w:val="000000"/>
          <w:szCs w:val="32"/>
        </w:rPr>
        <w:t xml:space="preserve">  乙方应严格按照工伤保险辅助器具配置目录和标准购进、配置、管理辅助器具，并建立管理制度。全流程记录辅助器具的购进、配置、库存（以下简称“进销存”）等信息，建立台账，留存凭证和票据。乙方进销存台账中的辅助器具相关信息数据应与实际情况一致，并实现相关信息数据可追溯。</w:t>
      </w:r>
    </w:p>
    <w:p w14:paraId="5072CBF9">
      <w:pPr>
        <w:ind w:firstLine="640" w:firstLineChars="200"/>
        <w:contextualSpacing/>
        <w:rPr>
          <w:rFonts w:ascii="Times New Roman" w:hAnsi="Times New Roman" w:eastAsia="仿宋_GB2312"/>
          <w:kern w:val="0"/>
          <w:szCs w:val="32"/>
          <w:lang w:bidi="ar"/>
        </w:rPr>
      </w:pPr>
      <w:r>
        <w:rPr>
          <w:rFonts w:ascii="Times New Roman" w:hAnsi="Times New Roman" w:eastAsia="仿宋_GB2312"/>
          <w:kern w:val="0"/>
          <w:szCs w:val="32"/>
          <w:lang w:bidi="ar"/>
        </w:rPr>
        <w:t>乙方应定期向甲方报送辅助器具进货台账、销售记录及成本构成说明（含材料成本、人工成本、运营成本等），台账及记录需真实完整，明确标注产品名称、型号、规格、进货单价、进货数量、销售单价、销售对象等信息。同时需一并报送产品质量检测报告等佐证材料，确保成本与质量匹配。甲方每年至少开展一次价格专项核查，对加价率超出规定标准的配置项目，重点核查成本真实性；对存在不合理高价销售、变相抬高加价率等行为的，追缴违规费用，并暂停乙方3-6个月协议资格</w:t>
      </w:r>
      <w:r>
        <w:rPr>
          <w:rFonts w:ascii="仿宋_GB2312" w:hAnsi="Times New Roman" w:eastAsia="仿宋_GB2312" w:cs="仿宋_GB2312"/>
          <w:kern w:val="0"/>
          <w:szCs w:val="32"/>
          <w:lang w:bidi="ar"/>
        </w:rPr>
        <w:t>，乙方违规行为涉及其他地市参保工伤职工的，甲方应将相关数据线索共享至相应的社会保险经办机构</w:t>
      </w:r>
      <w:r>
        <w:rPr>
          <w:rFonts w:ascii="Times New Roman" w:hAnsi="Times New Roman" w:eastAsia="仿宋_GB2312"/>
          <w:kern w:val="0"/>
          <w:szCs w:val="32"/>
          <w:lang w:bidi="ar"/>
        </w:rPr>
        <w:t>；情节恶劣的，解除服务协议。</w:t>
      </w:r>
    </w:p>
    <w:p w14:paraId="6166241F">
      <w:pPr>
        <w:widowControl/>
        <w:ind w:firstLine="640" w:firstLineChars="200"/>
        <w:contextualSpacing/>
        <w:jc w:val="left"/>
        <w:rPr>
          <w:rFonts w:ascii="Times New Roman" w:hAnsi="Times New Roman" w:eastAsia="仿宋_GB2312"/>
          <w:kern w:val="0"/>
          <w:szCs w:val="32"/>
          <w:u w:val="none" w:color="000000"/>
          <w:lang w:bidi="ar"/>
        </w:rPr>
      </w:pPr>
      <w:r>
        <w:rPr>
          <w:rFonts w:ascii="Times New Roman" w:hAnsi="Times New Roman" w:eastAsia="仿宋_GB2312"/>
          <w:kern w:val="0"/>
          <w:szCs w:val="32"/>
          <w:lang w:bidi="ar"/>
        </w:rPr>
        <w:t>若乙方同时具备医疗机构资质及辅助器具配置机构资质，且为工伤职工配置假眼、假牙等辅助器具的，其价格按照卫生健康、医疗保障等行政主管部门的相关规定执行，</w:t>
      </w:r>
      <w:r>
        <w:rPr>
          <w:rFonts w:ascii="Times New Roman" w:hAnsi="Times New Roman" w:eastAsia="仿宋_GB2312"/>
          <w:kern w:val="0"/>
          <w:szCs w:val="32"/>
          <w:u w:val="none" w:color="000000"/>
          <w:lang w:bidi="ar"/>
        </w:rPr>
        <w:t>不受本协议第</w:t>
      </w:r>
      <w:r>
        <w:rPr>
          <w:rFonts w:hint="eastAsia" w:ascii="Times New Roman" w:hAnsi="Times New Roman" w:eastAsia="仿宋_GB2312"/>
          <w:kern w:val="0"/>
          <w:szCs w:val="32"/>
          <w:u w:val="none" w:color="000000"/>
          <w:lang w:bidi="ar"/>
        </w:rPr>
        <w:t>十</w:t>
      </w:r>
      <w:r>
        <w:rPr>
          <w:rFonts w:ascii="Times New Roman" w:hAnsi="Times New Roman" w:eastAsia="仿宋_GB2312"/>
          <w:kern w:val="0"/>
          <w:szCs w:val="32"/>
          <w:u w:val="none" w:color="000000"/>
          <w:lang w:bidi="ar"/>
        </w:rPr>
        <w:t>三条、第</w:t>
      </w:r>
      <w:r>
        <w:rPr>
          <w:rFonts w:hint="eastAsia" w:ascii="Times New Roman" w:hAnsi="Times New Roman" w:eastAsia="仿宋_GB2312"/>
          <w:kern w:val="0"/>
          <w:szCs w:val="32"/>
          <w:u w:val="none" w:color="000000"/>
          <w:lang w:bidi="ar"/>
        </w:rPr>
        <w:t>十</w:t>
      </w:r>
      <w:r>
        <w:rPr>
          <w:rFonts w:ascii="Times New Roman" w:hAnsi="Times New Roman" w:eastAsia="仿宋_GB2312"/>
          <w:kern w:val="0"/>
          <w:szCs w:val="32"/>
          <w:u w:val="none" w:color="000000"/>
          <w:lang w:bidi="ar"/>
        </w:rPr>
        <w:t>六条关于加价率及价格报送核查相关条款的限制。</w:t>
      </w:r>
    </w:p>
    <w:p w14:paraId="3D4F38A4">
      <w:pPr>
        <w:ind w:firstLine="640" w:firstLineChars="200"/>
        <w:contextualSpacing/>
        <w:jc w:val="left"/>
        <w:rPr>
          <w:rFonts w:ascii="仿宋_GB2312" w:hAnsi="仿宋" w:eastAsia="仿宋_GB2312"/>
          <w:bCs/>
          <w:color w:val="000000"/>
          <w:szCs w:val="32"/>
        </w:rPr>
      </w:pPr>
      <w:r>
        <w:rPr>
          <w:rFonts w:hint="eastAsia" w:ascii="黑体" w:hAnsi="黑体" w:eastAsia="黑体"/>
          <w:color w:val="000000"/>
          <w:szCs w:val="32"/>
        </w:rPr>
        <w:t>第十七条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hAnsi="仿宋" w:eastAsia="仿宋_GB2312"/>
          <w:bCs/>
          <w:color w:val="000000"/>
          <w:szCs w:val="32"/>
        </w:rPr>
        <w:t>乙方在为工伤职工提供配置服务时，应当如实记录工伤职工信息、配置器具产品信息、最高支付限额、最低使用年限以及实际配置费用等配置服务事项。配置服务记录经工伤职工签字后，分别由工伤职工和协议机构留存，作为甲方结算配置</w:t>
      </w:r>
      <w:r>
        <w:rPr>
          <w:rFonts w:ascii="仿宋_GB2312" w:hAnsi="仿宋" w:eastAsia="仿宋_GB2312"/>
          <w:bCs/>
          <w:color w:val="000000"/>
          <w:szCs w:val="32"/>
        </w:rPr>
        <w:t>费用</w:t>
      </w:r>
      <w:r>
        <w:rPr>
          <w:rFonts w:hint="eastAsia" w:ascii="仿宋_GB2312" w:hAnsi="仿宋" w:eastAsia="仿宋_GB2312"/>
          <w:bCs/>
          <w:color w:val="000000"/>
          <w:szCs w:val="32"/>
        </w:rPr>
        <w:t>时</w:t>
      </w:r>
      <w:r>
        <w:rPr>
          <w:rFonts w:ascii="仿宋_GB2312" w:hAnsi="仿宋" w:eastAsia="仿宋_GB2312"/>
          <w:bCs/>
          <w:color w:val="000000"/>
          <w:szCs w:val="32"/>
        </w:rPr>
        <w:t>的</w:t>
      </w:r>
      <w:r>
        <w:rPr>
          <w:rFonts w:hint="eastAsia" w:ascii="仿宋_GB2312" w:hAnsi="仿宋" w:eastAsia="仿宋_GB2312"/>
          <w:bCs/>
          <w:color w:val="000000"/>
          <w:szCs w:val="32"/>
        </w:rPr>
        <w:t>核查</w:t>
      </w:r>
      <w:r>
        <w:rPr>
          <w:rFonts w:ascii="仿宋_GB2312" w:hAnsi="仿宋" w:eastAsia="仿宋_GB2312"/>
          <w:bCs/>
          <w:color w:val="000000"/>
          <w:szCs w:val="32"/>
        </w:rPr>
        <w:t>依据</w:t>
      </w:r>
      <w:r>
        <w:rPr>
          <w:rFonts w:hint="eastAsia" w:ascii="仿宋_GB2312" w:hAnsi="仿宋" w:eastAsia="仿宋_GB2312"/>
          <w:bCs/>
          <w:color w:val="000000"/>
          <w:szCs w:val="32"/>
        </w:rPr>
        <w:t>。</w:t>
      </w:r>
    </w:p>
    <w:p w14:paraId="60514CC1">
      <w:pPr>
        <w:widowControl/>
        <w:ind w:firstLine="640" w:firstLineChars="200"/>
        <w:contextualSpacing/>
        <w:rPr>
          <w:rFonts w:hint="eastAsia" w:ascii="仿宋_GB2312" w:hAnsi="仿宋" w:eastAsia="仿宋_GB2312"/>
          <w:bCs/>
          <w:color w:val="000000"/>
          <w:szCs w:val="32"/>
        </w:rPr>
      </w:pPr>
      <w:r>
        <w:rPr>
          <w:rFonts w:hint="eastAsia" w:ascii="黑体" w:hAnsi="黑体" w:eastAsia="黑体"/>
          <w:color w:val="000000"/>
          <w:szCs w:val="32"/>
        </w:rPr>
        <w:t>第十八条</w:t>
      </w:r>
      <w:r>
        <w:rPr>
          <w:rFonts w:hint="eastAsia" w:ascii="仿宋_GB2312" w:hAnsi="仿宋" w:eastAsia="仿宋_GB2312"/>
          <w:bCs/>
          <w:color w:val="000000"/>
          <w:szCs w:val="32"/>
        </w:rPr>
        <w:t xml:space="preserve"> </w:t>
      </w:r>
      <w:r>
        <w:rPr>
          <w:rFonts w:ascii="仿宋_GB2312" w:hAnsi="仿宋" w:eastAsia="仿宋_GB2312"/>
          <w:bCs/>
          <w:color w:val="000000"/>
          <w:szCs w:val="32"/>
        </w:rPr>
        <w:t xml:space="preserve"> </w:t>
      </w:r>
      <w:r>
        <w:rPr>
          <w:rFonts w:hint="eastAsia" w:ascii="仿宋_GB2312" w:hAnsi="仿宋" w:eastAsia="仿宋_GB2312"/>
          <w:bCs/>
          <w:color w:val="000000"/>
          <w:szCs w:val="32"/>
        </w:rPr>
        <w:t>乙方应当为工伤职工建立配置服务档案，并</w:t>
      </w:r>
      <w:r>
        <w:rPr>
          <w:rFonts w:ascii="Times New Roman" w:hAnsi="Times New Roman" w:eastAsia="仿宋_GB2312"/>
          <w:kern w:val="0"/>
          <w:szCs w:val="32"/>
          <w:lang w:bidi="ar"/>
        </w:rPr>
        <w:t>实行“一人一档”管理</w:t>
      </w:r>
      <w:r>
        <w:rPr>
          <w:rFonts w:hint="eastAsia" w:ascii="Times New Roman" w:hAnsi="Times New Roman" w:eastAsia="仿宋_GB2312"/>
          <w:kern w:val="0"/>
          <w:szCs w:val="32"/>
          <w:lang w:bidi="ar"/>
        </w:rPr>
        <w:t>，</w:t>
      </w:r>
      <w:r>
        <w:rPr>
          <w:rFonts w:hint="eastAsia" w:ascii="仿宋_GB2312" w:hAnsi="仿宋" w:eastAsia="仿宋_GB2312"/>
          <w:bCs/>
          <w:color w:val="000000"/>
          <w:szCs w:val="32"/>
        </w:rPr>
        <w:t>档案记录应清晰、准确、完整并妥善保存备查，至少保存至服务期限结束之日起</w:t>
      </w:r>
      <w:r>
        <w:rPr>
          <w:rFonts w:ascii="仿宋_GB2312" w:hAnsi="仿宋" w:eastAsia="仿宋_GB2312"/>
          <w:bCs/>
          <w:color w:val="000000"/>
          <w:szCs w:val="32"/>
        </w:rPr>
        <w:t>5</w:t>
      </w:r>
      <w:r>
        <w:rPr>
          <w:rFonts w:hint="eastAsia" w:ascii="仿宋_GB2312" w:hAnsi="仿宋" w:eastAsia="仿宋_GB2312"/>
          <w:bCs/>
          <w:color w:val="000000"/>
          <w:szCs w:val="32"/>
        </w:rPr>
        <w:t>年。</w:t>
      </w:r>
      <w:r>
        <w:rPr>
          <w:rFonts w:hint="eastAsia" w:ascii="仿宋_GB2312" w:hAnsi="仿宋" w:eastAsia="仿宋_GB2312"/>
          <w:color w:val="000000"/>
          <w:szCs w:val="32"/>
        </w:rPr>
        <w:t>档案内容包括：职工</w:t>
      </w:r>
      <w:r>
        <w:rPr>
          <w:rFonts w:ascii="仿宋_GB2312" w:hAnsi="仿宋" w:eastAsia="仿宋_GB2312"/>
          <w:color w:val="000000"/>
          <w:szCs w:val="32"/>
        </w:rPr>
        <w:t>信息（</w:t>
      </w:r>
      <w:r>
        <w:rPr>
          <w:rFonts w:hint="eastAsia" w:ascii="仿宋_GB2312" w:hAnsi="仿宋" w:eastAsia="仿宋_GB2312"/>
          <w:color w:val="000000"/>
          <w:szCs w:val="32"/>
        </w:rPr>
        <w:t>工伤职工姓名、性别、出生年月、身份证号码、家庭地址、联系电话</w:t>
      </w:r>
      <w:r>
        <w:rPr>
          <w:rFonts w:ascii="仿宋_GB2312" w:hAnsi="仿宋" w:eastAsia="仿宋_GB2312"/>
          <w:color w:val="000000"/>
          <w:szCs w:val="32"/>
        </w:rPr>
        <w:t>）</w:t>
      </w:r>
      <w:r>
        <w:rPr>
          <w:rFonts w:hint="eastAsia" w:ascii="仿宋_GB2312" w:hAnsi="仿宋" w:eastAsia="仿宋_GB2312"/>
          <w:color w:val="000000"/>
          <w:szCs w:val="32"/>
        </w:rPr>
        <w:t>；</w:t>
      </w:r>
      <w:r>
        <w:rPr>
          <w:rFonts w:ascii="仿宋_GB2312" w:hAnsi="仿宋" w:eastAsia="仿宋_GB2312"/>
          <w:color w:val="000000"/>
          <w:szCs w:val="32"/>
        </w:rPr>
        <w:t>用人单位信息（</w:t>
      </w:r>
      <w:r>
        <w:rPr>
          <w:rFonts w:hint="eastAsia" w:ascii="仿宋_GB2312" w:hAnsi="仿宋" w:eastAsia="仿宋_GB2312"/>
          <w:color w:val="000000"/>
          <w:szCs w:val="32"/>
        </w:rPr>
        <w:t>用人单位/用工单位名称、单位联系电话</w:t>
      </w:r>
      <w:r>
        <w:rPr>
          <w:rFonts w:ascii="仿宋_GB2312" w:hAnsi="仿宋" w:eastAsia="仿宋_GB2312"/>
          <w:color w:val="000000"/>
          <w:szCs w:val="32"/>
        </w:rPr>
        <w:t>）</w:t>
      </w:r>
      <w:r>
        <w:rPr>
          <w:rFonts w:hint="eastAsia" w:ascii="仿宋_GB2312" w:hAnsi="仿宋" w:eastAsia="仿宋_GB2312"/>
          <w:color w:val="000000"/>
          <w:szCs w:val="32"/>
        </w:rPr>
        <w:t>；</w:t>
      </w:r>
      <w:r>
        <w:rPr>
          <w:rFonts w:ascii="仿宋_GB2312" w:hAnsi="仿宋" w:eastAsia="仿宋_GB2312"/>
          <w:color w:val="000000"/>
          <w:szCs w:val="32"/>
        </w:rPr>
        <w:t>产品信息（</w:t>
      </w:r>
      <w:r>
        <w:rPr>
          <w:rFonts w:hint="eastAsia" w:ascii="仿宋_GB2312" w:hAnsi="仿宋" w:eastAsia="仿宋_GB2312"/>
          <w:color w:val="000000"/>
          <w:szCs w:val="32"/>
        </w:rPr>
        <w:t>辅助器具名称、辅助器具品牌型号、材料品牌名称、材料等级、生产厂家、生产日期、产品标签、产品编码</w:t>
      </w:r>
      <w:r>
        <w:rPr>
          <w:rFonts w:ascii="Times New Roman" w:hAnsi="Times New Roman" w:eastAsia="仿宋_GB2312"/>
          <w:kern w:val="0"/>
          <w:szCs w:val="32"/>
          <w:lang w:bidi="ar"/>
        </w:rPr>
        <w:t>、进货凭证复印件、产品质量检测报告、器具唯一性标识照片</w:t>
      </w:r>
      <w:r>
        <w:rPr>
          <w:rFonts w:ascii="仿宋_GB2312" w:hAnsi="仿宋" w:eastAsia="仿宋_GB2312"/>
          <w:color w:val="000000"/>
          <w:szCs w:val="32"/>
        </w:rPr>
        <w:t>）</w:t>
      </w:r>
      <w:r>
        <w:rPr>
          <w:rFonts w:hint="eastAsia" w:ascii="仿宋_GB2312" w:hAnsi="仿宋" w:eastAsia="仿宋_GB2312"/>
          <w:color w:val="000000"/>
          <w:szCs w:val="32"/>
        </w:rPr>
        <w:t>；</w:t>
      </w:r>
      <w:r>
        <w:rPr>
          <w:rFonts w:ascii="仿宋_GB2312" w:hAnsi="仿宋" w:eastAsia="仿宋_GB2312"/>
          <w:color w:val="000000"/>
          <w:szCs w:val="32"/>
        </w:rPr>
        <w:t>配置服务信息（</w:t>
      </w:r>
      <w:r>
        <w:rPr>
          <w:rFonts w:hint="eastAsia" w:ascii="仿宋_GB2312" w:hAnsi="仿宋" w:eastAsia="仿宋_GB2312"/>
          <w:color w:val="000000"/>
          <w:szCs w:val="32"/>
        </w:rPr>
        <w:t>安装日期、保修期、安装前后照片、使用年限、</w:t>
      </w:r>
      <w:r>
        <w:rPr>
          <w:rFonts w:ascii="Times New Roman" w:hAnsi="Times New Roman" w:eastAsia="仿宋_GB2312"/>
          <w:kern w:val="0"/>
          <w:szCs w:val="32"/>
          <w:lang w:bidi="ar"/>
        </w:rPr>
        <w:t>销售价格明细</w:t>
      </w:r>
      <w:r>
        <w:rPr>
          <w:rFonts w:hint="eastAsia" w:ascii="仿宋_GB2312" w:hAnsi="仿宋" w:eastAsia="仿宋_GB2312"/>
          <w:color w:val="000000"/>
          <w:szCs w:val="32"/>
        </w:rPr>
        <w:t>、回访情况</w:t>
      </w:r>
      <w:r>
        <w:rPr>
          <w:rFonts w:ascii="仿宋_GB2312" w:hAnsi="仿宋" w:eastAsia="仿宋_GB2312"/>
          <w:color w:val="000000"/>
          <w:szCs w:val="32"/>
        </w:rPr>
        <w:t>）</w:t>
      </w:r>
      <w:r>
        <w:rPr>
          <w:rFonts w:hint="eastAsia" w:ascii="仿宋_GB2312" w:hAnsi="仿宋" w:eastAsia="仿宋_GB2312"/>
          <w:color w:val="000000"/>
          <w:szCs w:val="32"/>
        </w:rPr>
        <w:t>，以及辅助器具配置专家</w:t>
      </w:r>
      <w:r>
        <w:rPr>
          <w:rFonts w:ascii="仿宋_GB2312" w:hAnsi="仿宋" w:eastAsia="仿宋_GB2312"/>
          <w:color w:val="000000"/>
          <w:szCs w:val="32"/>
        </w:rPr>
        <w:t>和</w:t>
      </w:r>
      <w:r>
        <w:rPr>
          <w:rFonts w:hint="eastAsia" w:ascii="仿宋_GB2312" w:hAnsi="仿宋" w:eastAsia="仿宋_GB2312"/>
          <w:color w:val="000000"/>
          <w:szCs w:val="32"/>
        </w:rPr>
        <w:t>工伤职工的签字意见、核付通知单等。</w:t>
      </w:r>
      <w:r>
        <w:rPr>
          <w:rFonts w:hint="eastAsia" w:ascii="仿宋_GB2312" w:hAnsi="仿宋" w:eastAsia="仿宋_GB2312"/>
          <w:bCs/>
          <w:color w:val="000000"/>
          <w:szCs w:val="32"/>
        </w:rPr>
        <w:t>甲方按规定对配置服务档案进行抽查，并作为结算配置费用的依据之一。</w:t>
      </w:r>
    </w:p>
    <w:p w14:paraId="42981946">
      <w:pPr>
        <w:pStyle w:val="2"/>
        <w:ind w:firstLine="632"/>
        <w:contextualSpacing/>
      </w:pPr>
      <w:r>
        <w:rPr>
          <w:rFonts w:hint="eastAsia" w:ascii="黑体" w:hAnsi="黑体" w:eastAsia="黑体"/>
          <w:color w:val="000000"/>
          <w:szCs w:val="32"/>
        </w:rPr>
        <w:t>第十九条</w:t>
      </w:r>
      <w:r>
        <w:rPr>
          <w:rFonts w:hint="eastAsia" w:ascii="仿宋_GB2312" w:hAnsi="仿宋" w:eastAsia="仿宋_GB2312"/>
          <w:color w:val="000000"/>
          <w:szCs w:val="32"/>
        </w:rPr>
        <w:t xml:space="preserve"> </w:t>
      </w:r>
      <w:r>
        <w:rPr>
          <w:rFonts w:ascii="仿宋_GB2312" w:hAnsi="仿宋" w:eastAsia="仿宋_GB2312"/>
          <w:color w:val="000000"/>
          <w:szCs w:val="32"/>
        </w:rPr>
        <w:t xml:space="preserve"> </w:t>
      </w:r>
      <w:r>
        <w:rPr>
          <w:rFonts w:hint="eastAsia" w:ascii="Times New Roman" w:hAnsi="Times New Roman" w:eastAsia="仿宋_GB2312"/>
          <w:kern w:val="0"/>
          <w:szCs w:val="32"/>
          <w:lang w:bidi="ar"/>
        </w:rPr>
        <w:t>配置服务档案还应包括工伤职工</w:t>
      </w:r>
      <w:r>
        <w:rPr>
          <w:rFonts w:ascii="Times New Roman" w:hAnsi="Times New Roman" w:eastAsia="仿宋_GB2312"/>
          <w:kern w:val="0"/>
          <w:szCs w:val="32"/>
          <w:lang w:bidi="ar"/>
        </w:rPr>
        <w:t>辅助器具</w:t>
      </w:r>
      <w:r>
        <w:rPr>
          <w:rFonts w:hint="eastAsia" w:ascii="Times New Roman" w:hAnsi="Times New Roman" w:eastAsia="仿宋_GB2312"/>
          <w:kern w:val="0"/>
          <w:szCs w:val="32"/>
          <w:lang w:bidi="ar"/>
        </w:rPr>
        <w:t>维修及</w:t>
      </w:r>
      <w:r>
        <w:rPr>
          <w:rFonts w:ascii="Times New Roman" w:hAnsi="Times New Roman" w:eastAsia="仿宋_GB2312"/>
          <w:kern w:val="0"/>
          <w:szCs w:val="32"/>
          <w:lang w:bidi="ar"/>
        </w:rPr>
        <w:t>更换</w:t>
      </w:r>
      <w:r>
        <w:rPr>
          <w:rFonts w:hint="eastAsia" w:ascii="Times New Roman" w:hAnsi="Times New Roman" w:eastAsia="仿宋_GB2312"/>
          <w:kern w:val="0"/>
          <w:szCs w:val="32"/>
          <w:lang w:bidi="ar"/>
        </w:rPr>
        <w:t>内容</w:t>
      </w:r>
      <w:r>
        <w:rPr>
          <w:rFonts w:ascii="Times New Roman" w:hAnsi="Times New Roman" w:eastAsia="仿宋_GB2312"/>
          <w:kern w:val="0"/>
          <w:szCs w:val="32"/>
          <w:lang w:bidi="ar"/>
        </w:rPr>
        <w:t>，</w:t>
      </w:r>
      <w:r>
        <w:rPr>
          <w:rFonts w:hint="eastAsia" w:ascii="Times New Roman" w:hAnsi="Times New Roman" w:eastAsia="仿宋_GB2312"/>
          <w:kern w:val="0"/>
          <w:szCs w:val="32"/>
          <w:lang w:bidi="ar"/>
        </w:rPr>
        <w:t>辅助器具维修/更换台账应包含</w:t>
      </w:r>
      <w:r>
        <w:rPr>
          <w:rFonts w:ascii="Times New Roman" w:hAnsi="Times New Roman" w:eastAsia="仿宋_GB2312"/>
          <w:kern w:val="0"/>
          <w:szCs w:val="32"/>
          <w:lang w:bidi="ar"/>
        </w:rPr>
        <w:t>工伤职工信息、原器具编码、</w:t>
      </w:r>
      <w:r>
        <w:rPr>
          <w:rFonts w:hint="eastAsia" w:ascii="Times New Roman" w:hAnsi="Times New Roman" w:eastAsia="仿宋_GB2312"/>
          <w:kern w:val="0"/>
          <w:szCs w:val="32"/>
          <w:lang w:bidi="ar"/>
        </w:rPr>
        <w:t>维修/</w:t>
      </w:r>
      <w:r>
        <w:rPr>
          <w:rFonts w:ascii="Times New Roman" w:hAnsi="Times New Roman" w:eastAsia="仿宋_GB2312"/>
          <w:kern w:val="0"/>
          <w:szCs w:val="32"/>
          <w:lang w:bidi="ar"/>
        </w:rPr>
        <w:t>更换原因、新器具信息、原器具处置方式等内容，并留存相关佐证资料。工伤职工更换辅助器具时，伤情未发生变化且项目与原配置一致的，乙方需向甲方上传原器具标识照片、使用状况说明等材料；与原配置不一致的，必须提供劳动能力鉴定委员会出具的新配置确认结论，否则甲方不予结算费用。乙方需对更换理由的真实性、新配置辅助器具的适配性及质量负责。</w:t>
      </w:r>
    </w:p>
    <w:p w14:paraId="40797274">
      <w:pPr>
        <w:ind w:firstLine="640" w:firstLineChars="200"/>
        <w:contextualSpacing/>
        <w:rPr>
          <w:rFonts w:hint="eastAsia" w:ascii="仿宋_GB2312" w:hAnsi="仿宋" w:eastAsia="仿宋_GB2312"/>
          <w:color w:val="000000"/>
          <w:szCs w:val="32"/>
        </w:rPr>
      </w:pPr>
      <w:r>
        <w:rPr>
          <w:rFonts w:ascii="Times New Roman" w:hAnsi="Times New Roman" w:eastAsia="黑体"/>
          <w:kern w:val="0"/>
          <w:szCs w:val="32"/>
          <w:lang w:bidi="ar"/>
        </w:rPr>
        <w:t>第</w:t>
      </w:r>
      <w:r>
        <w:rPr>
          <w:rFonts w:hint="eastAsia" w:ascii="Times New Roman" w:hAnsi="Times New Roman" w:eastAsia="黑体"/>
          <w:kern w:val="0"/>
          <w:szCs w:val="32"/>
          <w:lang w:bidi="ar"/>
        </w:rPr>
        <w:t>二十</w:t>
      </w:r>
      <w:r>
        <w:rPr>
          <w:rFonts w:ascii="Times New Roman" w:hAnsi="Times New Roman" w:eastAsia="黑体"/>
          <w:kern w:val="0"/>
          <w:szCs w:val="32"/>
          <w:lang w:bidi="ar"/>
        </w:rPr>
        <w:t>条</w:t>
      </w:r>
      <w:r>
        <w:rPr>
          <w:rFonts w:ascii="Times New Roman" w:hAnsi="Times New Roman" w:eastAsia="仿宋_GB2312"/>
          <w:kern w:val="0"/>
          <w:szCs w:val="32"/>
          <w:lang w:bidi="ar"/>
        </w:rPr>
        <w:t xml:space="preserve">  乙方应配备档案管理人员，设置档案存放场所，完善档案保管、借阅、移交制度，确保档案安全完整。甲方每半年对乙方档案管理情况进行抽查，对档案不完整、不规范的，责令限期整改；逾期未整改或整改不到位的，暂缓费用结算，并扣减年度考核分数。</w:t>
      </w:r>
    </w:p>
    <w:p w14:paraId="7E272366">
      <w:pPr>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第二十一条</w:t>
      </w:r>
      <w:r>
        <w:rPr>
          <w:rFonts w:hint="eastAsia" w:ascii="仿宋_GB2312" w:hAnsi="仿宋" w:eastAsia="仿宋_GB2312"/>
          <w:color w:val="000000"/>
          <w:szCs w:val="32"/>
        </w:rPr>
        <w:t xml:space="preserve"> </w:t>
      </w:r>
      <w:r>
        <w:rPr>
          <w:rFonts w:ascii="仿宋_GB2312" w:hAnsi="仿宋" w:eastAsia="仿宋_GB2312"/>
          <w:color w:val="000000"/>
          <w:szCs w:val="32"/>
        </w:rPr>
        <w:t xml:space="preserve"> </w:t>
      </w:r>
      <w:r>
        <w:rPr>
          <w:rFonts w:hint="eastAsia" w:ascii="仿宋_GB2312" w:hAnsi="仿宋" w:eastAsia="仿宋_GB2312"/>
          <w:color w:val="000000"/>
          <w:szCs w:val="32"/>
        </w:rPr>
        <w:t>乙方应保证工伤职工知情同意权，及时向工伤职工提供费用明细清单、有效费用票据等资料，为工伤职工提供超出工伤保险辅助器具配置目录和最高支付限额的辅助器具配置服务，需由工伤职工承担自费费用的，应当事先征得工伤职工或其近亲属书面同意并签字。</w:t>
      </w:r>
    </w:p>
    <w:p w14:paraId="53310C4A">
      <w:pPr>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第二十二条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hAnsi="仿宋" w:eastAsia="仿宋_GB2312"/>
          <w:color w:val="000000"/>
          <w:szCs w:val="32"/>
        </w:rPr>
        <w:t>工伤职工应配置辅助器具但不愿配置而要求支付现金的，乙方应拒绝支付，并及时报告甲方。</w:t>
      </w:r>
    </w:p>
    <w:p w14:paraId="430E06F0">
      <w:pPr>
        <w:widowControl/>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第二十三条</w:t>
      </w:r>
      <w:r>
        <w:rPr>
          <w:rFonts w:hint="eastAsia" w:ascii="仿宋_GB2312" w:hAnsi="仿宋" w:eastAsia="仿宋_GB2312"/>
          <w:color w:val="000000"/>
          <w:szCs w:val="32"/>
        </w:rPr>
        <w:t xml:space="preserve">  乙方应积极响应国家及本省关于工伤保险跨省异地就医直接结算工作部署要求，根据政策需要和甲方安排，适时加入工伤保险跨省异地就医直接结算机构范围，为跨省异地工伤职工提供辅助器具配置直接结算服务，保障跨省异地就医工伤职工获得质量优良的辅助器具产品和良好服务。成为工伤保险跨省异地就医直接结算机构后，乙方应按照以下要求为跨省异地就医工伤职工提供直接结算服务：</w:t>
      </w:r>
    </w:p>
    <w:p w14:paraId="1F88AA4B">
      <w:pPr>
        <w:widowControl/>
        <w:ind w:firstLine="640" w:firstLineChars="200"/>
        <w:contextualSpacing/>
        <w:rPr>
          <w:rFonts w:hint="eastAsia" w:ascii="仿宋_GB2312" w:hAnsi="仿宋" w:eastAsia="仿宋_GB2312"/>
          <w:color w:val="000000"/>
          <w:spacing w:val="-6"/>
          <w:szCs w:val="32"/>
        </w:rPr>
      </w:pPr>
      <w:r>
        <w:rPr>
          <w:rFonts w:hint="eastAsia" w:ascii="仿宋_GB2312" w:hAnsi="仿宋" w:eastAsia="仿宋_GB2312"/>
          <w:color w:val="000000"/>
          <w:szCs w:val="32"/>
        </w:rPr>
        <w:t>（一）</w:t>
      </w:r>
      <w:r>
        <w:rPr>
          <w:rFonts w:hint="eastAsia" w:ascii="仿宋_GB2312" w:hAnsi="仿宋" w:eastAsia="仿宋_GB2312"/>
          <w:color w:val="000000"/>
          <w:spacing w:val="-6"/>
          <w:szCs w:val="32"/>
        </w:rPr>
        <w:t>乙方应通过全国工伤保险异地就医结算系统进行工伤职工异地配置辅助器具的信息核验、数据上传、费用结算和申报等；</w:t>
      </w:r>
    </w:p>
    <w:p w14:paraId="60DA2093">
      <w:pPr>
        <w:widowControl/>
        <w:ind w:firstLine="640" w:firstLineChars="200"/>
        <w:contextualSpacing/>
        <w:rPr>
          <w:rFonts w:hint="eastAsia" w:ascii="仿宋_GB2312" w:hAnsi="仿宋" w:eastAsia="仿宋_GB2312"/>
          <w:color w:val="000000"/>
          <w:szCs w:val="32"/>
          <w:lang w:val="en"/>
        </w:rPr>
      </w:pPr>
      <w:r>
        <w:rPr>
          <w:rFonts w:hint="eastAsia" w:ascii="仿宋_GB2312" w:hAnsi="仿宋" w:eastAsia="仿宋_GB2312"/>
          <w:color w:val="000000"/>
          <w:szCs w:val="32"/>
        </w:rPr>
        <w:t>（二）乙方应为异地配置辅助器具工伤职工提供与本地工伤职工同等的辅助器具配置服务；</w:t>
      </w:r>
    </w:p>
    <w:p w14:paraId="2F19D6A1">
      <w:pPr>
        <w:widowControl/>
        <w:ind w:firstLine="640" w:firstLineChars="200"/>
        <w:contextualSpacing/>
        <w:rPr>
          <w:rFonts w:hint="eastAsia" w:ascii="仿宋_GB2312" w:hAnsi="仿宋" w:eastAsia="仿宋_GB2312"/>
          <w:color w:val="000000"/>
          <w:szCs w:val="32"/>
          <w:lang w:val="en"/>
        </w:rPr>
      </w:pPr>
      <w:r>
        <w:rPr>
          <w:rFonts w:hint="eastAsia" w:ascii="仿宋_GB2312" w:hAnsi="仿宋" w:eastAsia="仿宋_GB2312"/>
          <w:color w:val="000000"/>
          <w:szCs w:val="32"/>
        </w:rPr>
        <w:t>（三）乙方经办人员</w:t>
      </w:r>
      <w:r>
        <w:rPr>
          <w:rFonts w:hint="eastAsia" w:ascii="仿宋_GB2312" w:hAnsi="仿宋" w:eastAsia="仿宋_GB2312"/>
          <w:color w:val="000000"/>
          <w:szCs w:val="32"/>
          <w:lang w:bidi="en-US"/>
        </w:rPr>
        <w:t>登录</w:t>
      </w:r>
      <w:r>
        <w:rPr>
          <w:rFonts w:hint="eastAsia" w:ascii="仿宋_GB2312" w:hAnsi="仿宋" w:eastAsia="仿宋_GB2312"/>
          <w:color w:val="000000"/>
          <w:szCs w:val="32"/>
        </w:rPr>
        <w:t>全国工伤保险异地就医结算系统</w:t>
      </w:r>
      <w:r>
        <w:rPr>
          <w:rFonts w:hint="eastAsia" w:ascii="仿宋_GB2312" w:hAnsi="仿宋" w:eastAsia="仿宋_GB2312"/>
          <w:color w:val="000000"/>
          <w:szCs w:val="32"/>
          <w:lang w:bidi="en-US"/>
        </w:rPr>
        <w:t>核对工伤职工身份信息、备案信息和配置费用核付通知单，核对通过的，乙方根据</w:t>
      </w:r>
      <w:r>
        <w:rPr>
          <w:rFonts w:hint="eastAsia" w:ascii="仿宋_GB2312" w:hAnsi="仿宋" w:eastAsia="仿宋_GB2312"/>
          <w:color w:val="000000"/>
          <w:szCs w:val="32"/>
        </w:rPr>
        <w:t>全国工伤保险异地就医结算系统</w:t>
      </w:r>
      <w:r>
        <w:rPr>
          <w:rFonts w:hint="eastAsia" w:ascii="仿宋_GB2312" w:hAnsi="仿宋" w:eastAsia="仿宋_GB2312"/>
          <w:color w:val="000000"/>
          <w:szCs w:val="32"/>
          <w:lang w:bidi="en-US"/>
        </w:rPr>
        <w:t>自动读取已备案的异地辅助器具配置信息，为工伤职工提供配置服务；</w:t>
      </w:r>
    </w:p>
    <w:p w14:paraId="6B82ACE8">
      <w:pPr>
        <w:widowControl/>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（四）乙方在全国工伤保险异地就医结算系统录入辅助器具配置数量、单价，全国工伤保险异地就医结算系统自动计算费用，乙方按照全国工伤保险异地就医结算系统反馈的结果信息，完成结算。</w:t>
      </w:r>
    </w:p>
    <w:p w14:paraId="174EF597">
      <w:pPr>
        <w:widowControl/>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完成结算后，乙方需要在5个工作日</w:t>
      </w:r>
      <w:r>
        <w:rPr>
          <w:rFonts w:hint="eastAsia" w:ascii="仿宋_GB2312" w:hAnsi="仿宋" w:eastAsia="仿宋_GB2312"/>
          <w:color w:val="000000"/>
          <w:szCs w:val="32"/>
          <w:lang w:eastAsia="zh-Hans" w:bidi="en-US"/>
        </w:rPr>
        <w:t>内将全部结算信息上传至</w:t>
      </w:r>
      <w:r>
        <w:rPr>
          <w:rFonts w:hint="eastAsia" w:ascii="仿宋_GB2312" w:hAnsi="仿宋" w:eastAsia="仿宋_GB2312"/>
          <w:color w:val="000000"/>
          <w:szCs w:val="32"/>
        </w:rPr>
        <w:t>全国工伤保险异地就医结算系统</w:t>
      </w:r>
      <w:r>
        <w:rPr>
          <w:rFonts w:hint="eastAsia" w:ascii="仿宋_GB2312" w:hAnsi="仿宋" w:eastAsia="仿宋_GB2312"/>
          <w:color w:val="000000"/>
          <w:szCs w:val="32"/>
          <w:lang w:bidi="en-US"/>
        </w:rPr>
        <w:t>；</w:t>
      </w:r>
    </w:p>
    <w:p w14:paraId="3D62739B">
      <w:pPr>
        <w:widowControl/>
        <w:ind w:firstLine="640" w:firstLineChars="200"/>
        <w:contextualSpacing/>
        <w:rPr>
          <w:rFonts w:hint="eastAsia" w:ascii="仿宋_GB2312" w:hAnsi="仿宋" w:eastAsia="仿宋_GB2312"/>
          <w:color w:val="000000"/>
          <w:szCs w:val="32"/>
          <w:lang w:val="en"/>
        </w:rPr>
      </w:pPr>
      <w:r>
        <w:rPr>
          <w:rFonts w:hint="eastAsia" w:ascii="仿宋_GB2312" w:hAnsi="仿宋" w:eastAsia="仿宋_GB2312"/>
          <w:color w:val="000000"/>
          <w:szCs w:val="32"/>
        </w:rPr>
        <w:t>（五）乙方应配合其他</w:t>
      </w:r>
      <w:r>
        <w:rPr>
          <w:rFonts w:ascii="仿宋_GB2312" w:hAnsi="仿宋" w:eastAsia="仿宋_GB2312"/>
          <w:color w:val="000000"/>
          <w:szCs w:val="32"/>
        </w:rPr>
        <w:t>地区</w:t>
      </w:r>
      <w:r>
        <w:rPr>
          <w:rFonts w:hint="eastAsia" w:ascii="仿宋_GB2312" w:hAnsi="仿宋" w:eastAsia="仿宋_GB2312"/>
          <w:color w:val="000000"/>
          <w:szCs w:val="32"/>
        </w:rPr>
        <w:t>社会保险经办机构对其工伤职工异地配置辅助器具开展监督检查、费用结算及核实有关费用情况等工作；</w:t>
      </w:r>
    </w:p>
    <w:p w14:paraId="68F7C6F7">
      <w:pPr>
        <w:widowControl/>
        <w:ind w:firstLine="640" w:firstLineChars="200"/>
        <w:contextualSpacing/>
        <w:rPr>
          <w:rFonts w:hint="eastAsia" w:ascii="仿宋_GB2312" w:hAnsi="仿宋_GB2312" w:eastAsia="仿宋_GB2312" w:cs="仿宋_GB2312"/>
          <w:color w:val="000000"/>
          <w:szCs w:val="32"/>
        </w:rPr>
      </w:pPr>
      <w:r>
        <w:rPr>
          <w:rFonts w:hint="eastAsia" w:ascii="仿宋_GB2312" w:hAnsi="仿宋" w:eastAsia="仿宋_GB2312"/>
          <w:color w:val="000000"/>
          <w:szCs w:val="32"/>
        </w:rPr>
        <w:t>（六）其他国家及本省关于工伤保险跨省异地就医直接结算的相关规定。</w:t>
      </w:r>
    </w:p>
    <w:p w14:paraId="3F155B08">
      <w:pPr>
        <w:pStyle w:val="8"/>
        <w:spacing w:before="0" w:after="0"/>
        <w:contextualSpacing/>
        <w:rPr>
          <w:rFonts w:ascii="仿宋_GB2312" w:eastAsia="仿宋_GB2312"/>
          <w:b w:val="0"/>
          <w:bCs w:val="0"/>
          <w:color w:val="000000"/>
        </w:rPr>
      </w:pPr>
      <w:r>
        <w:rPr>
          <w:rFonts w:ascii="黑体" w:hAnsi="黑体" w:eastAsia="黑体"/>
          <w:b w:val="0"/>
          <w:color w:val="000000"/>
        </w:rPr>
        <w:t>第</w:t>
      </w:r>
      <w:r>
        <w:rPr>
          <w:rFonts w:hint="eastAsia" w:ascii="黑体" w:hAnsi="黑体" w:eastAsia="黑体"/>
          <w:b w:val="0"/>
          <w:color w:val="000000"/>
        </w:rPr>
        <w:t>三</w:t>
      </w:r>
      <w:r>
        <w:rPr>
          <w:rFonts w:ascii="黑体" w:hAnsi="黑体" w:eastAsia="黑体"/>
          <w:b w:val="0"/>
          <w:color w:val="000000"/>
        </w:rPr>
        <w:t xml:space="preserve">章  </w:t>
      </w:r>
      <w:r>
        <w:rPr>
          <w:rFonts w:hint="eastAsia" w:ascii="黑体" w:hAnsi="黑体" w:eastAsia="黑体"/>
          <w:b w:val="0"/>
          <w:color w:val="000000"/>
        </w:rPr>
        <w:t>信息系统管理</w:t>
      </w:r>
    </w:p>
    <w:p w14:paraId="2C74170E">
      <w:pPr>
        <w:ind w:firstLine="640" w:firstLineChars="200"/>
        <w:contextualSpacing/>
        <w:rPr>
          <w:rFonts w:hint="eastAsia" w:ascii="仿宋_GB2312" w:hAnsi="仿宋" w:eastAsia="仿宋_GB2312"/>
          <w:color w:val="000000"/>
          <w:spacing w:val="-4"/>
          <w:szCs w:val="32"/>
        </w:rPr>
      </w:pPr>
      <w:r>
        <w:rPr>
          <w:rFonts w:hint="eastAsia" w:ascii="黑体" w:hAnsi="黑体" w:eastAsia="黑体"/>
          <w:color w:val="000000"/>
          <w:szCs w:val="32"/>
        </w:rPr>
        <w:t>第二十四条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hAnsi="仿宋" w:eastAsia="仿宋_GB2312"/>
          <w:color w:val="000000"/>
          <w:spacing w:val="-4"/>
          <w:szCs w:val="32"/>
        </w:rPr>
        <w:t>甲乙双方应满足对方的信息安全管理要求，保证双方信息系统的安全性和可靠性。甲方应保证江西省社会保险信息系统中工伤职工信息、政策参数等基础信息的准确性。乙方应按照甲方信息系统的技术和接口标准，在约定时间内做好工伤辅助器具配置信息系统与江西省社会保险信息系统的对接及更新工作。</w:t>
      </w:r>
    </w:p>
    <w:p w14:paraId="212BF012">
      <w:pPr>
        <w:pStyle w:val="6"/>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kern w:val="2"/>
          <w:sz w:val="32"/>
          <w:szCs w:val="32"/>
        </w:rPr>
        <w:t>甲方有权要求乙方提供</w:t>
      </w:r>
      <w:r>
        <w:rPr>
          <w:rFonts w:ascii="仿宋_GB2312" w:hAnsi="仿宋" w:eastAsia="仿宋_GB2312"/>
          <w:color w:val="000000"/>
          <w:kern w:val="2"/>
          <w:sz w:val="32"/>
          <w:szCs w:val="32"/>
        </w:rPr>
        <w:t>业务</w:t>
      </w:r>
      <w:r>
        <w:rPr>
          <w:rFonts w:hint="eastAsia" w:ascii="仿宋_GB2312" w:hAnsi="仿宋" w:eastAsia="仿宋_GB2312"/>
          <w:color w:val="000000"/>
          <w:kern w:val="2"/>
          <w:sz w:val="32"/>
          <w:szCs w:val="32"/>
        </w:rPr>
        <w:t>信息系统接口标准，并获得接入乙方</w:t>
      </w:r>
      <w:r>
        <w:rPr>
          <w:rFonts w:ascii="仿宋_GB2312" w:hAnsi="仿宋" w:eastAsia="仿宋_GB2312"/>
          <w:color w:val="000000"/>
          <w:kern w:val="2"/>
          <w:sz w:val="32"/>
          <w:szCs w:val="32"/>
        </w:rPr>
        <w:t>业务</w:t>
      </w:r>
      <w:r>
        <w:rPr>
          <w:rFonts w:hint="eastAsia" w:ascii="仿宋_GB2312" w:hAnsi="仿宋" w:eastAsia="仿宋_GB2312"/>
          <w:color w:val="000000"/>
          <w:kern w:val="2"/>
          <w:sz w:val="32"/>
          <w:szCs w:val="32"/>
        </w:rPr>
        <w:t>信息系统的权限，以便对工伤</w:t>
      </w:r>
      <w:r>
        <w:rPr>
          <w:rFonts w:hint="eastAsia" w:ascii="仿宋_GB2312" w:hAnsi="仿宋" w:eastAsia="仿宋_GB2312"/>
          <w:color w:val="000000"/>
          <w:sz w:val="32"/>
          <w:szCs w:val="32"/>
        </w:rPr>
        <w:t>辅助器具配置</w:t>
      </w:r>
      <w:r>
        <w:rPr>
          <w:rFonts w:hint="eastAsia" w:ascii="仿宋_GB2312" w:hAnsi="仿宋" w:eastAsia="仿宋_GB2312"/>
          <w:color w:val="000000"/>
          <w:kern w:val="2"/>
          <w:sz w:val="32"/>
          <w:szCs w:val="32"/>
        </w:rPr>
        <w:t>服务相关信息进行有效监管。</w:t>
      </w:r>
    </w:p>
    <w:p w14:paraId="317BAB97">
      <w:pPr>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第二十五条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hAnsi="仿宋" w:eastAsia="仿宋_GB2312"/>
          <w:color w:val="000000"/>
          <w:szCs w:val="32"/>
        </w:rPr>
        <w:t>乙方应指定部门及专人负责管理工伤辅助器具配置信息系统，明确工作职责，合理设置系统管理权限。乙方应在</w:t>
      </w:r>
      <w:r>
        <w:rPr>
          <w:rFonts w:ascii="仿宋_GB2312" w:hAnsi="仿宋" w:eastAsia="仿宋_GB2312"/>
          <w:color w:val="000000"/>
          <w:szCs w:val="32"/>
        </w:rPr>
        <w:t>本单位信息系统如实、完整</w:t>
      </w:r>
      <w:r>
        <w:rPr>
          <w:rFonts w:hint="eastAsia" w:ascii="仿宋_GB2312" w:hAnsi="仿宋" w:eastAsia="仿宋_GB2312"/>
          <w:color w:val="000000"/>
          <w:szCs w:val="32"/>
        </w:rPr>
        <w:t>录入</w:t>
      </w:r>
      <w:r>
        <w:rPr>
          <w:rFonts w:ascii="仿宋_GB2312" w:hAnsi="仿宋" w:eastAsia="仿宋_GB2312"/>
          <w:color w:val="000000"/>
          <w:szCs w:val="32"/>
        </w:rPr>
        <w:t>工伤职工辅助</w:t>
      </w:r>
      <w:r>
        <w:rPr>
          <w:rFonts w:hint="eastAsia" w:ascii="仿宋_GB2312" w:hAnsi="仿宋" w:eastAsia="仿宋_GB2312"/>
          <w:color w:val="000000"/>
          <w:szCs w:val="32"/>
        </w:rPr>
        <w:t>器具</w:t>
      </w:r>
      <w:r>
        <w:rPr>
          <w:rFonts w:ascii="仿宋_GB2312" w:hAnsi="仿宋" w:eastAsia="仿宋_GB2312"/>
          <w:color w:val="000000"/>
          <w:szCs w:val="32"/>
        </w:rPr>
        <w:t>配置</w:t>
      </w:r>
      <w:r>
        <w:rPr>
          <w:rFonts w:hint="eastAsia" w:ascii="仿宋_GB2312" w:hAnsi="仿宋" w:eastAsia="仿宋_GB2312"/>
          <w:color w:val="000000"/>
          <w:szCs w:val="32"/>
        </w:rPr>
        <w:t>的有关</w:t>
      </w:r>
      <w:r>
        <w:rPr>
          <w:rFonts w:ascii="仿宋_GB2312" w:hAnsi="仿宋" w:eastAsia="仿宋_GB2312"/>
          <w:color w:val="000000"/>
          <w:szCs w:val="32"/>
        </w:rPr>
        <w:t>数据和信息。</w:t>
      </w:r>
      <w:r>
        <w:rPr>
          <w:rFonts w:hint="eastAsia" w:ascii="仿宋_GB2312" w:hAnsi="仿宋" w:eastAsia="仿宋_GB2312"/>
          <w:color w:val="000000"/>
          <w:szCs w:val="32"/>
        </w:rPr>
        <w:t>乙方应按甲方信息</w:t>
      </w:r>
      <w:r>
        <w:rPr>
          <w:rFonts w:ascii="仿宋_GB2312" w:hAnsi="仿宋" w:eastAsia="仿宋_GB2312"/>
          <w:color w:val="000000"/>
          <w:szCs w:val="32"/>
        </w:rPr>
        <w:t>系统</w:t>
      </w:r>
      <w:r>
        <w:rPr>
          <w:rFonts w:hint="eastAsia" w:ascii="仿宋_GB2312" w:hAnsi="仿宋" w:eastAsia="仿宋_GB2312"/>
          <w:color w:val="000000"/>
          <w:szCs w:val="32"/>
        </w:rPr>
        <w:t>接口</w:t>
      </w:r>
      <w:r>
        <w:rPr>
          <w:rFonts w:ascii="仿宋_GB2312" w:hAnsi="仿宋" w:eastAsia="仿宋_GB2312"/>
          <w:color w:val="000000"/>
          <w:szCs w:val="32"/>
        </w:rPr>
        <w:t>的要求传送</w:t>
      </w:r>
      <w:r>
        <w:rPr>
          <w:rFonts w:hint="eastAsia" w:ascii="仿宋_GB2312" w:hAnsi="仿宋" w:eastAsia="仿宋_GB2312"/>
          <w:color w:val="000000"/>
          <w:szCs w:val="32"/>
        </w:rPr>
        <w:t>配置</w:t>
      </w:r>
      <w:r>
        <w:rPr>
          <w:rFonts w:ascii="仿宋_GB2312" w:hAnsi="仿宋" w:eastAsia="仿宋_GB2312"/>
          <w:color w:val="000000"/>
          <w:szCs w:val="32"/>
        </w:rPr>
        <w:t>信息</w:t>
      </w:r>
      <w:r>
        <w:rPr>
          <w:rFonts w:hint="eastAsia" w:ascii="仿宋_GB2312" w:hAnsi="仿宋" w:eastAsia="仿宋_GB2312"/>
          <w:color w:val="000000"/>
          <w:szCs w:val="32"/>
        </w:rPr>
        <w:t>、</w:t>
      </w:r>
      <w:r>
        <w:rPr>
          <w:rFonts w:hint="eastAsia" w:ascii="仿宋_GB2312" w:hAnsi="仿宋" w:eastAsia="仿宋_GB2312"/>
          <w:bCs/>
          <w:color w:val="000000"/>
          <w:szCs w:val="32"/>
        </w:rPr>
        <w:t>费用明细清单</w:t>
      </w:r>
      <w:r>
        <w:rPr>
          <w:rFonts w:ascii="仿宋_GB2312" w:hAnsi="仿宋" w:eastAsia="仿宋_GB2312"/>
          <w:color w:val="000000"/>
          <w:szCs w:val="32"/>
        </w:rPr>
        <w:t>和费用结算单等信息</w:t>
      </w:r>
      <w:r>
        <w:rPr>
          <w:rFonts w:hint="eastAsia" w:ascii="仿宋_GB2312" w:hAnsi="仿宋" w:eastAsia="仿宋_GB2312"/>
          <w:color w:val="000000"/>
          <w:szCs w:val="32"/>
        </w:rPr>
        <w:t>，并对所传输数据、信息的真实性、完整性、准确性负责，同时做好数据备份，</w:t>
      </w:r>
      <w:r>
        <w:rPr>
          <w:rFonts w:hint="eastAsia" w:ascii="仿宋_GB2312" w:hAnsi="仿宋" w:eastAsia="仿宋_GB2312"/>
          <w:bCs/>
          <w:color w:val="000000"/>
          <w:szCs w:val="32"/>
        </w:rPr>
        <w:t>并按规定留存原始票据及其他资料备查</w:t>
      </w:r>
      <w:r>
        <w:rPr>
          <w:rFonts w:hint="eastAsia" w:ascii="仿宋_GB2312" w:hAnsi="仿宋" w:eastAsia="仿宋_GB2312"/>
          <w:color w:val="000000"/>
          <w:szCs w:val="32"/>
        </w:rPr>
        <w:t>。乙方对工伤职工</w:t>
      </w:r>
      <w:r>
        <w:rPr>
          <w:rFonts w:ascii="仿宋_GB2312" w:hAnsi="仿宋" w:eastAsia="仿宋_GB2312"/>
          <w:color w:val="000000"/>
          <w:szCs w:val="32"/>
        </w:rPr>
        <w:t>辅助</w:t>
      </w:r>
      <w:r>
        <w:rPr>
          <w:rFonts w:hint="eastAsia" w:ascii="仿宋_GB2312" w:hAnsi="仿宋" w:eastAsia="仿宋_GB2312"/>
          <w:color w:val="000000"/>
          <w:szCs w:val="32"/>
        </w:rPr>
        <w:t>器具</w:t>
      </w:r>
      <w:r>
        <w:rPr>
          <w:rFonts w:ascii="仿宋_GB2312" w:hAnsi="仿宋" w:eastAsia="仿宋_GB2312"/>
          <w:color w:val="000000"/>
          <w:szCs w:val="32"/>
        </w:rPr>
        <w:t>配置</w:t>
      </w:r>
      <w:r>
        <w:rPr>
          <w:rFonts w:hint="eastAsia" w:ascii="仿宋_GB2312" w:hAnsi="仿宋" w:eastAsia="仿宋_GB2312"/>
          <w:color w:val="000000"/>
          <w:szCs w:val="32"/>
        </w:rPr>
        <w:t>信息数据应保存三年以上。</w:t>
      </w:r>
    </w:p>
    <w:p w14:paraId="22B99697">
      <w:pPr>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第二十六条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hAnsi="仿宋" w:eastAsia="仿宋_GB2312"/>
          <w:color w:val="000000"/>
          <w:szCs w:val="32"/>
        </w:rPr>
        <w:t>甲方</w:t>
      </w:r>
      <w:r>
        <w:rPr>
          <w:rFonts w:ascii="仿宋_GB2312" w:hAnsi="仿宋" w:eastAsia="仿宋_GB2312"/>
          <w:color w:val="000000"/>
          <w:szCs w:val="32"/>
        </w:rPr>
        <w:t>应当组织乙方专职信息管理人员进行业务培训，</w:t>
      </w:r>
      <w:r>
        <w:rPr>
          <w:rFonts w:hint="eastAsia" w:ascii="仿宋_GB2312" w:hAnsi="仿宋" w:eastAsia="仿宋_GB2312"/>
          <w:color w:val="000000"/>
          <w:szCs w:val="32"/>
        </w:rPr>
        <w:t>为乙方对接江西省社会保险信息系统、工伤保险智</w:t>
      </w:r>
      <w:r>
        <w:rPr>
          <w:rFonts w:ascii="仿宋_GB2312" w:hAnsi="仿宋" w:eastAsia="仿宋_GB2312"/>
          <w:color w:val="000000"/>
          <w:szCs w:val="32"/>
        </w:rPr>
        <w:t>能</w:t>
      </w:r>
      <w:r>
        <w:rPr>
          <w:rFonts w:hint="eastAsia" w:ascii="仿宋_GB2312" w:hAnsi="仿宋" w:eastAsia="仿宋_GB2312"/>
          <w:color w:val="000000"/>
          <w:szCs w:val="32"/>
        </w:rPr>
        <w:t>医疗监管系统提供必要的支持和协助。</w:t>
      </w:r>
    </w:p>
    <w:p w14:paraId="4416F016">
      <w:pPr>
        <w:ind w:firstLine="640" w:firstLineChars="200"/>
        <w:contextualSpacing/>
        <w:rPr>
          <w:rFonts w:hint="eastAsia" w:ascii="黑体" w:hAnsi="黑体" w:eastAsia="黑体"/>
          <w:color w:val="000000"/>
          <w:szCs w:val="32"/>
        </w:rPr>
      </w:pPr>
      <w:r>
        <w:rPr>
          <w:rFonts w:hint="eastAsia" w:ascii="黑体" w:hAnsi="黑体" w:eastAsia="黑体"/>
          <w:color w:val="000000"/>
          <w:szCs w:val="32"/>
        </w:rPr>
        <w:t>第二十七条</w:t>
      </w:r>
      <w:r>
        <w:rPr>
          <w:rFonts w:hint="eastAsia" w:ascii="仿宋_GB2312" w:hAnsi="仿宋" w:eastAsia="仿宋_GB2312"/>
          <w:color w:val="000000"/>
          <w:szCs w:val="32"/>
        </w:rPr>
        <w:t xml:space="preserve">  甲乙双方应当严格遵守国家</w:t>
      </w:r>
      <w:r>
        <w:rPr>
          <w:rFonts w:ascii="仿宋_GB2312" w:hAnsi="仿宋" w:eastAsia="仿宋_GB2312"/>
          <w:color w:val="000000"/>
          <w:szCs w:val="32"/>
        </w:rPr>
        <w:t>和</w:t>
      </w:r>
      <w:r>
        <w:rPr>
          <w:rFonts w:hint="eastAsia" w:ascii="仿宋_GB2312" w:hAnsi="仿宋" w:eastAsia="仿宋_GB2312"/>
          <w:color w:val="000000"/>
          <w:szCs w:val="32"/>
        </w:rPr>
        <w:t>省网络与信息安全的相关规定，制定并有效执行信息安全管理制度。乙方应确保对接江西省社会保险信息系统的网络、设备与互联网实现物理隔离，与其它外部网络联网时采用有效的安全及隔离措施，并对工伤</w:t>
      </w:r>
      <w:r>
        <w:rPr>
          <w:rFonts w:ascii="仿宋_GB2312" w:hAnsi="仿宋" w:eastAsia="仿宋_GB2312"/>
          <w:color w:val="000000"/>
          <w:szCs w:val="32"/>
        </w:rPr>
        <w:t>辅助</w:t>
      </w:r>
      <w:r>
        <w:rPr>
          <w:rFonts w:hint="eastAsia" w:ascii="仿宋_GB2312" w:hAnsi="仿宋" w:eastAsia="仿宋_GB2312"/>
          <w:color w:val="000000"/>
          <w:szCs w:val="32"/>
        </w:rPr>
        <w:t>器具</w:t>
      </w:r>
      <w:r>
        <w:rPr>
          <w:rFonts w:ascii="仿宋_GB2312" w:hAnsi="仿宋" w:eastAsia="仿宋_GB2312"/>
          <w:color w:val="000000"/>
          <w:szCs w:val="32"/>
        </w:rPr>
        <w:t>配置</w:t>
      </w:r>
      <w:r>
        <w:rPr>
          <w:rFonts w:hint="eastAsia" w:ascii="仿宋_GB2312" w:hAnsi="仿宋" w:eastAsia="仿宋_GB2312"/>
          <w:color w:val="000000"/>
          <w:szCs w:val="32"/>
        </w:rPr>
        <w:t>信息数据进行同步存储备份。因系统升级、硬件损坏等原因重新安装本地系统时，乙方应向甲方备案，经甲方重新验收合格后方可与江西省社会保险信息系统对接。</w:t>
      </w:r>
    </w:p>
    <w:p w14:paraId="216F556A">
      <w:pPr>
        <w:ind w:firstLine="624" w:firstLineChars="200"/>
        <w:contextualSpacing/>
        <w:rPr>
          <w:rFonts w:ascii="仿宋_GB2312" w:hAnsi="仿宋" w:eastAsia="仿宋_GB2312"/>
          <w:color w:val="000000"/>
          <w:spacing w:val="-4"/>
          <w:szCs w:val="32"/>
        </w:rPr>
      </w:pPr>
      <w:r>
        <w:rPr>
          <w:rFonts w:hint="eastAsia" w:ascii="黑体" w:hAnsi="黑体" w:eastAsia="黑体"/>
          <w:color w:val="000000"/>
          <w:spacing w:val="-4"/>
          <w:szCs w:val="32"/>
        </w:rPr>
        <w:t>第</w:t>
      </w:r>
      <w:r>
        <w:rPr>
          <w:rFonts w:hint="eastAsia" w:ascii="黑体" w:hAnsi="黑体" w:eastAsia="黑体"/>
          <w:color w:val="000000"/>
          <w:szCs w:val="32"/>
        </w:rPr>
        <w:t>二十八</w:t>
      </w:r>
      <w:r>
        <w:rPr>
          <w:rFonts w:hint="eastAsia" w:ascii="黑体" w:hAnsi="黑体" w:eastAsia="黑体"/>
          <w:color w:val="000000"/>
          <w:spacing w:val="-4"/>
          <w:szCs w:val="32"/>
        </w:rPr>
        <w:t>条</w:t>
      </w:r>
      <w:r>
        <w:rPr>
          <w:rFonts w:hint="eastAsia" w:ascii="仿宋_GB2312" w:hAnsi="仿宋" w:eastAsia="仿宋_GB2312"/>
          <w:bCs/>
          <w:color w:val="000000"/>
          <w:spacing w:val="-4"/>
          <w:szCs w:val="32"/>
        </w:rPr>
        <w:t xml:space="preserve"> </w:t>
      </w:r>
      <w:r>
        <w:rPr>
          <w:rFonts w:ascii="仿宋_GB2312" w:hAnsi="仿宋" w:eastAsia="仿宋_GB2312"/>
          <w:bCs/>
          <w:color w:val="000000"/>
          <w:spacing w:val="-4"/>
          <w:szCs w:val="32"/>
        </w:rPr>
        <w:t xml:space="preserve"> </w:t>
      </w:r>
      <w:r>
        <w:rPr>
          <w:rFonts w:ascii="仿宋_GB2312" w:hAnsi="仿宋" w:eastAsia="仿宋_GB2312"/>
          <w:color w:val="000000"/>
          <w:szCs w:val="32"/>
        </w:rPr>
        <w:t>甲乙双方应当制定应急预案，一方信息系统出现故障并影响工伤职工</w:t>
      </w:r>
      <w:r>
        <w:rPr>
          <w:rFonts w:hint="eastAsia" w:ascii="仿宋_GB2312" w:hAnsi="仿宋" w:eastAsia="仿宋_GB2312"/>
          <w:color w:val="000000"/>
          <w:szCs w:val="32"/>
        </w:rPr>
        <w:t>辅助器具配置费用</w:t>
      </w:r>
      <w:r>
        <w:rPr>
          <w:rFonts w:ascii="仿宋_GB2312" w:hAnsi="仿宋" w:eastAsia="仿宋_GB2312"/>
          <w:color w:val="000000"/>
          <w:szCs w:val="32"/>
        </w:rPr>
        <w:t>结算的，应及时通知对方启动应急预案。因信息系统故障暂时不能结算的，乙方应做好解释工作，待故障排除后再进行工伤保险结算。</w:t>
      </w:r>
    </w:p>
    <w:p w14:paraId="4664E41D">
      <w:pPr>
        <w:pStyle w:val="8"/>
        <w:spacing w:before="0" w:after="0"/>
        <w:contextualSpacing/>
        <w:rPr>
          <w:rFonts w:ascii="黑体" w:hAnsi="黑体" w:eastAsia="黑体"/>
          <w:b w:val="0"/>
          <w:color w:val="000000"/>
        </w:rPr>
      </w:pPr>
      <w:r>
        <w:rPr>
          <w:rFonts w:hint="eastAsia" w:ascii="黑体" w:hAnsi="黑体" w:eastAsia="黑体"/>
          <w:b w:val="0"/>
          <w:color w:val="000000"/>
        </w:rPr>
        <w:t>第四章  费用结算</w:t>
      </w:r>
    </w:p>
    <w:p w14:paraId="0B2138E8">
      <w:pPr>
        <w:ind w:firstLine="640" w:firstLineChars="200"/>
        <w:contextualSpacing/>
        <w:rPr>
          <w:rFonts w:ascii="仿宋_GB2312" w:hAnsi="仿宋" w:eastAsia="仿宋_GB2312"/>
          <w:color w:val="000000"/>
          <w:szCs w:val="32"/>
        </w:rPr>
      </w:pPr>
      <w:r>
        <w:rPr>
          <w:rFonts w:hint="eastAsia" w:ascii="黑体" w:hAnsi="黑体" w:eastAsia="黑体"/>
          <w:color w:val="000000"/>
          <w:szCs w:val="32"/>
        </w:rPr>
        <w:t>第二十九条</w:t>
      </w:r>
      <w:r>
        <w:rPr>
          <w:rFonts w:hint="eastAsia" w:ascii="仿宋_GB2312" w:hAnsi="仿宋" w:eastAsia="仿宋_GB2312"/>
          <w:bCs/>
          <w:color w:val="000000"/>
          <w:szCs w:val="32"/>
        </w:rPr>
        <w:t xml:space="preserve"> </w:t>
      </w:r>
      <w:r>
        <w:rPr>
          <w:rFonts w:ascii="仿宋_GB2312" w:hAnsi="仿宋" w:eastAsia="仿宋_GB2312"/>
          <w:bCs/>
          <w:color w:val="000000"/>
          <w:szCs w:val="32"/>
        </w:rPr>
        <w:t xml:space="preserve"> </w:t>
      </w:r>
      <w:r>
        <w:rPr>
          <w:rFonts w:hint="eastAsia" w:ascii="仿宋_GB2312" w:hAnsi="仿宋" w:eastAsia="仿宋_GB2312"/>
          <w:color w:val="000000"/>
          <w:szCs w:val="32"/>
        </w:rPr>
        <w:t>工伤职工配置辅助器具的费用，乙方应与甲方联网直接结算，或由乙方</w:t>
      </w:r>
      <w:r>
        <w:rPr>
          <w:rFonts w:ascii="仿宋_GB2312" w:hAnsi="仿宋" w:eastAsia="仿宋_GB2312"/>
          <w:color w:val="000000"/>
          <w:szCs w:val="32"/>
        </w:rPr>
        <w:t>垫付</w:t>
      </w:r>
      <w:r>
        <w:rPr>
          <w:rFonts w:hint="eastAsia" w:ascii="仿宋_GB2312" w:hAnsi="仿宋" w:eastAsia="仿宋_GB2312"/>
          <w:color w:val="000000"/>
          <w:szCs w:val="32"/>
        </w:rPr>
        <w:t>后</w:t>
      </w:r>
      <w:r>
        <w:rPr>
          <w:rFonts w:ascii="仿宋_GB2312" w:hAnsi="仿宋" w:eastAsia="仿宋_GB2312"/>
          <w:color w:val="000000"/>
          <w:szCs w:val="32"/>
        </w:rPr>
        <w:t>向甲方办理结算手续</w:t>
      </w:r>
      <w:r>
        <w:rPr>
          <w:rFonts w:hint="eastAsia" w:ascii="仿宋_GB2312" w:hAnsi="仿宋" w:eastAsia="仿宋_GB2312"/>
          <w:color w:val="000000"/>
          <w:szCs w:val="32"/>
        </w:rPr>
        <w:t>。</w:t>
      </w:r>
    </w:p>
    <w:p w14:paraId="439E6679">
      <w:pPr>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第三十条</w:t>
      </w:r>
      <w:r>
        <w:rPr>
          <w:rFonts w:hint="eastAsia" w:ascii="仿宋_GB2312" w:hAnsi="仿宋" w:eastAsia="仿宋_GB2312"/>
          <w:b/>
          <w:bCs/>
          <w:color w:val="000000"/>
          <w:szCs w:val="32"/>
        </w:rPr>
        <w:t xml:space="preserve"> </w:t>
      </w:r>
      <w:r>
        <w:rPr>
          <w:rFonts w:ascii="仿宋_GB2312" w:hAnsi="仿宋" w:eastAsia="仿宋_GB2312"/>
          <w:b/>
          <w:bCs/>
          <w:color w:val="000000"/>
          <w:szCs w:val="32"/>
        </w:rPr>
        <w:t xml:space="preserve"> </w:t>
      </w:r>
      <w:r>
        <w:rPr>
          <w:rFonts w:hint="eastAsia" w:ascii="仿宋_GB2312" w:hAnsi="仿宋" w:eastAsia="仿宋_GB2312"/>
          <w:color w:val="000000"/>
          <w:szCs w:val="32"/>
        </w:rPr>
        <w:t>甲方建立履约质量保证金制度，</w:t>
      </w:r>
      <w:r>
        <w:rPr>
          <w:rFonts w:hint="eastAsia" w:ascii="仿宋_GB2312" w:hAnsi="仿宋" w:eastAsia="仿宋_GB2312"/>
          <w:bCs/>
          <w:color w:val="000000"/>
          <w:szCs w:val="32"/>
        </w:rPr>
        <w:t>按照国家和省有关政策及标准，对</w:t>
      </w:r>
      <w:r>
        <w:rPr>
          <w:rFonts w:hint="eastAsia" w:ascii="仿宋_GB2312" w:hAnsi="仿宋" w:eastAsia="仿宋_GB2312"/>
          <w:color w:val="000000"/>
          <w:szCs w:val="32"/>
        </w:rPr>
        <w:t>乙方申报的</w:t>
      </w:r>
      <w:r>
        <w:rPr>
          <w:rFonts w:ascii="仿宋_GB2312" w:hAnsi="仿宋" w:eastAsia="仿宋_GB2312"/>
          <w:color w:val="000000"/>
          <w:szCs w:val="32"/>
        </w:rPr>
        <w:t>辅助器具配置费用</w:t>
      </w:r>
      <w:r>
        <w:rPr>
          <w:rFonts w:hint="eastAsia" w:ascii="仿宋_GB2312" w:hAnsi="仿宋" w:eastAsia="仿宋_GB2312"/>
          <w:color w:val="000000"/>
          <w:szCs w:val="32"/>
        </w:rPr>
        <w:t>进行</w:t>
      </w:r>
      <w:r>
        <w:rPr>
          <w:rFonts w:ascii="仿宋_GB2312" w:hAnsi="仿宋" w:eastAsia="仿宋_GB2312"/>
          <w:color w:val="000000"/>
          <w:szCs w:val="32"/>
        </w:rPr>
        <w:t>审核，</w:t>
      </w:r>
      <w:r>
        <w:rPr>
          <w:rFonts w:hint="eastAsia" w:ascii="仿宋_GB2312" w:hAnsi="仿宋" w:eastAsia="仿宋_GB2312"/>
          <w:color w:val="000000"/>
          <w:szCs w:val="32"/>
        </w:rPr>
        <w:t>对符合规定</w:t>
      </w:r>
      <w:r>
        <w:rPr>
          <w:rFonts w:ascii="仿宋_GB2312" w:hAnsi="仿宋" w:eastAsia="仿宋_GB2312"/>
          <w:color w:val="000000"/>
          <w:szCs w:val="32"/>
        </w:rPr>
        <w:t>的费用按月与乙方结算</w:t>
      </w:r>
      <w:r>
        <w:rPr>
          <w:rFonts w:hint="eastAsia" w:ascii="仿宋_GB2312" w:hAnsi="仿宋" w:eastAsia="仿宋_GB2312"/>
          <w:color w:val="000000"/>
          <w:szCs w:val="32"/>
        </w:rPr>
        <w:t>，月度结算时，对符合工伤保险基金支付规定的辅助器具配置费用，按每月应结算额的90%进行支付，剩余10%作为履约质量保证金预留，并在协议期满清算时根据期满考核和监督检查等情况予以结算。</w:t>
      </w:r>
    </w:p>
    <w:p w14:paraId="6E27F614">
      <w:pPr>
        <w:ind w:firstLine="640" w:firstLineChars="200"/>
        <w:contextualSpacing/>
        <w:rPr>
          <w:rFonts w:hint="eastAsia"/>
        </w:rPr>
      </w:pPr>
      <w:r>
        <w:rPr>
          <w:rFonts w:hint="eastAsia" w:ascii="仿宋_GB2312" w:hAnsi="仿宋" w:eastAsia="仿宋_GB2312"/>
          <w:color w:val="000000"/>
          <w:szCs w:val="32"/>
        </w:rPr>
        <w:t>甲方根据期满考核结果，按考评分数值与返还乙方履约质量保证金挂钩进行协议期满清算：期满考核90分以上（含90分）的，全额返还履约质量保证金；90分</w:t>
      </w:r>
      <w:r>
        <w:rPr>
          <w:rFonts w:ascii="仿宋_GB2312" w:hAnsi="仿宋" w:eastAsia="仿宋_GB2312"/>
          <w:color w:val="000000"/>
          <w:szCs w:val="32"/>
        </w:rPr>
        <w:t>以下</w:t>
      </w:r>
      <w:r>
        <w:rPr>
          <w:rFonts w:hint="eastAsia" w:ascii="仿宋_GB2312" w:hAnsi="仿宋" w:eastAsia="仿宋_GB2312"/>
          <w:color w:val="000000"/>
          <w:szCs w:val="32"/>
        </w:rPr>
        <w:t>的</w:t>
      </w:r>
      <w:r>
        <w:rPr>
          <w:rFonts w:ascii="仿宋_GB2312" w:hAnsi="仿宋" w:eastAsia="仿宋_GB2312"/>
          <w:color w:val="000000"/>
          <w:szCs w:val="32"/>
        </w:rPr>
        <w:t>，每减少一分，扣减10%履约质量保证金，扣完为止。</w:t>
      </w:r>
      <w:r>
        <w:rPr>
          <w:rFonts w:hint="eastAsia" w:ascii="仿宋_GB2312" w:hAnsi="仿宋" w:eastAsia="仿宋_GB2312"/>
          <w:color w:val="000000"/>
          <w:szCs w:val="32"/>
        </w:rPr>
        <w:t>扣除部分并入工伤保险基金。乙方自评结果与甲方考核结果相差15分以上的，整改到位前暂不进行期满结算。待整改到位后，由乙方重新提出考核申请，根据情况进行协议期满清算。协议期满清算应在本次协议期满后3个月内完成。</w:t>
      </w:r>
    </w:p>
    <w:p w14:paraId="584916AF">
      <w:pPr>
        <w:pStyle w:val="5"/>
        <w:spacing w:line="240" w:lineRule="auto"/>
        <w:ind w:firstLine="640" w:firstLineChars="200"/>
        <w:contextualSpacing/>
        <w:rPr>
          <w:rFonts w:hint="eastAsia" w:ascii="仿宋_GB2312" w:hAnsi="仿宋" w:eastAsia="仿宋_GB2312"/>
          <w:color w:val="000000"/>
          <w:sz w:val="32"/>
        </w:rPr>
      </w:pPr>
      <w:r>
        <w:rPr>
          <w:rFonts w:hint="eastAsia" w:ascii="黑体" w:hAnsi="黑体" w:eastAsia="黑体"/>
          <w:color w:val="000000"/>
          <w:sz w:val="32"/>
        </w:rPr>
        <w:t xml:space="preserve">第三十一条  </w:t>
      </w:r>
      <w:r>
        <w:rPr>
          <w:rFonts w:hint="eastAsia" w:ascii="仿宋_GB2312" w:hAnsi="仿宋" w:eastAsia="仿宋_GB2312"/>
          <w:color w:val="000000"/>
          <w:sz w:val="32"/>
        </w:rPr>
        <w:t>乙方应通过信息系统及时上传工伤职工的结算信息，并于每月10日前在系统中生成上月工伤辅助器具配置费用情况报表并提交；甲方于每月20日前审核完毕，并在30个工作日内支付费用。</w:t>
      </w:r>
    </w:p>
    <w:p w14:paraId="21D4C08A">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甲方在费用审核过程中扣减了违规金额的，应及时反馈乙方，乙方于10个工作日内进行确认，有异议的，甲方于10个工作日内进行核查，核查无误的，甲方应予以支付。</w:t>
      </w:r>
    </w:p>
    <w:p w14:paraId="47176219">
      <w:pPr>
        <w:ind w:firstLine="640" w:firstLineChars="200"/>
        <w:contextualSpacing/>
        <w:rPr>
          <w:rFonts w:ascii="仿宋_GB2312" w:hAnsi="仿宋" w:eastAsia="仿宋_GB2312"/>
          <w:color w:val="000000"/>
          <w:spacing w:val="-8"/>
          <w:szCs w:val="32"/>
        </w:rPr>
      </w:pPr>
      <w:r>
        <w:rPr>
          <w:rFonts w:hint="eastAsia" w:ascii="黑体" w:hAnsi="黑体" w:eastAsia="黑体"/>
          <w:color w:val="000000"/>
          <w:szCs w:val="32"/>
        </w:rPr>
        <w:t>第三十二条</w:t>
      </w:r>
      <w:r>
        <w:rPr>
          <w:rFonts w:hint="eastAsia" w:ascii="仿宋_GB2312" w:hAnsi="仿宋" w:eastAsia="仿宋_GB2312"/>
          <w:color w:val="000000"/>
          <w:szCs w:val="32"/>
        </w:rPr>
        <w:t xml:space="preserve"> </w:t>
      </w:r>
      <w:r>
        <w:rPr>
          <w:rFonts w:ascii="仿宋_GB2312" w:hAnsi="仿宋" w:eastAsia="仿宋_GB2312"/>
          <w:color w:val="000000"/>
          <w:szCs w:val="32"/>
        </w:rPr>
        <w:t xml:space="preserve"> </w:t>
      </w:r>
      <w:r>
        <w:rPr>
          <w:rFonts w:hint="eastAsia" w:ascii="仿宋_GB2312" w:hAnsi="仿宋" w:eastAsia="仿宋_GB2312"/>
          <w:color w:val="000000"/>
          <w:spacing w:val="-8"/>
          <w:szCs w:val="32"/>
        </w:rPr>
        <w:t>乙方有下列情形之一的，甲方不予结算配置</w:t>
      </w:r>
      <w:r>
        <w:rPr>
          <w:rFonts w:ascii="仿宋_GB2312" w:hAnsi="仿宋" w:eastAsia="仿宋_GB2312"/>
          <w:color w:val="000000"/>
          <w:spacing w:val="-8"/>
          <w:szCs w:val="32"/>
        </w:rPr>
        <w:t>费用</w:t>
      </w:r>
      <w:r>
        <w:rPr>
          <w:rFonts w:hint="eastAsia" w:ascii="仿宋_GB2312" w:hAnsi="仿宋" w:eastAsia="仿宋_GB2312"/>
          <w:color w:val="000000"/>
          <w:spacing w:val="-8"/>
          <w:szCs w:val="32"/>
        </w:rPr>
        <w:t>：</w:t>
      </w:r>
    </w:p>
    <w:p w14:paraId="276E9E7B">
      <w:pPr>
        <w:ind w:firstLine="640" w:firstLineChars="200"/>
        <w:contextualSpacing/>
        <w:rPr>
          <w:rFonts w:ascii="仿宋_GB2312" w:hAnsi="仿宋" w:eastAsia="仿宋_GB2312"/>
          <w:color w:val="000000"/>
          <w:szCs w:val="32"/>
        </w:rPr>
      </w:pPr>
      <w:r>
        <w:rPr>
          <w:rFonts w:hint="eastAsia" w:ascii="仿宋_GB2312" w:hAnsi="仿宋" w:eastAsia="仿宋_GB2312"/>
          <w:color w:val="000000"/>
          <w:szCs w:val="32"/>
        </w:rPr>
        <w:t>（一）未经劳动能力鉴定委员会确认，自行为工伤职工配置或</w:t>
      </w:r>
      <w:r>
        <w:rPr>
          <w:rFonts w:ascii="仿宋_GB2312" w:hAnsi="仿宋" w:eastAsia="仿宋_GB2312"/>
          <w:color w:val="000000"/>
          <w:szCs w:val="32"/>
        </w:rPr>
        <w:t>更换</w:t>
      </w:r>
      <w:r>
        <w:rPr>
          <w:rFonts w:hint="eastAsia" w:ascii="仿宋_GB2312" w:hAnsi="仿宋" w:eastAsia="仿宋_GB2312"/>
          <w:color w:val="000000"/>
          <w:szCs w:val="32"/>
        </w:rPr>
        <w:t>辅助器具的费用；</w:t>
      </w:r>
    </w:p>
    <w:p w14:paraId="7E7A069D">
      <w:pPr>
        <w:pStyle w:val="6"/>
        <w:ind w:firstLine="640" w:firstLineChars="200"/>
        <w:contextualSpacing/>
        <w:rPr>
          <w:rFonts w:ascii="仿宋_GB2312" w:hAnsi="仿宋" w:eastAsia="仿宋_GB2312"/>
          <w:color w:val="000000"/>
          <w:sz w:val="32"/>
          <w:szCs w:val="32"/>
        </w:rPr>
      </w:pPr>
      <w:r>
        <w:rPr>
          <w:rFonts w:hint="eastAsia" w:ascii="仿宋_GB2312" w:hAnsi="仿宋" w:eastAsia="仿宋_GB2312"/>
          <w:color w:val="000000"/>
          <w:sz w:val="32"/>
          <w:szCs w:val="32"/>
        </w:rPr>
        <w:t>（二）为工伤职工配置辅助器具超目录或超出最高限额部分的费用；</w:t>
      </w:r>
    </w:p>
    <w:p w14:paraId="20E10A57">
      <w:pPr>
        <w:pStyle w:val="6"/>
        <w:ind w:firstLine="640" w:firstLineChars="200"/>
        <w:contextualSpacing/>
        <w:rPr>
          <w:rFonts w:ascii="仿宋_GB2312" w:hAnsi="仿宋" w:eastAsia="仿宋_GB2312"/>
          <w:color w:val="000000"/>
          <w:sz w:val="32"/>
          <w:szCs w:val="32"/>
        </w:rPr>
      </w:pPr>
      <w:r>
        <w:rPr>
          <w:rFonts w:hint="eastAsia" w:ascii="仿宋_GB2312" w:hAnsi="仿宋" w:eastAsia="仿宋_GB2312"/>
          <w:color w:val="000000"/>
          <w:sz w:val="32"/>
          <w:szCs w:val="32"/>
        </w:rPr>
        <w:t>（三）为证件身份不符或核付通知单有涂改或</w:t>
      </w:r>
      <w:r>
        <w:rPr>
          <w:rFonts w:ascii="仿宋_GB2312" w:hAnsi="仿宋" w:eastAsia="仿宋_GB2312"/>
          <w:color w:val="000000"/>
          <w:sz w:val="32"/>
          <w:szCs w:val="32"/>
        </w:rPr>
        <w:t>其他</w:t>
      </w:r>
      <w:r>
        <w:rPr>
          <w:rFonts w:hint="eastAsia" w:ascii="仿宋_GB2312" w:hAnsi="仿宋" w:eastAsia="仿宋_GB2312"/>
          <w:color w:val="000000"/>
          <w:sz w:val="32"/>
          <w:szCs w:val="32"/>
        </w:rPr>
        <w:t>异常的工伤职工配置的辅助器具费用；</w:t>
      </w:r>
    </w:p>
    <w:p w14:paraId="62855666">
      <w:pPr>
        <w:pStyle w:val="6"/>
        <w:ind w:firstLine="595" w:firstLineChars="186"/>
        <w:contextualSpacing/>
        <w:rPr>
          <w:rFonts w:ascii="仿宋_GB2312" w:hAnsi="仿宋" w:eastAsia="仿宋_GB2312"/>
          <w:color w:val="000000"/>
          <w:sz w:val="32"/>
          <w:szCs w:val="32"/>
        </w:rPr>
      </w:pPr>
      <w:r>
        <w:rPr>
          <w:rFonts w:hint="eastAsia" w:ascii="仿宋_GB2312" w:hAnsi="仿宋" w:eastAsia="仿宋_GB2312"/>
          <w:color w:val="000000"/>
          <w:sz w:val="32"/>
          <w:szCs w:val="32"/>
        </w:rPr>
        <w:t>（四）为工伤职工配置辅助器具的</w:t>
      </w:r>
      <w:r>
        <w:rPr>
          <w:rFonts w:hint="eastAsia" w:ascii="仿宋_GB2312" w:hAnsi="仿宋" w:eastAsia="仿宋_GB2312"/>
          <w:sz w:val="32"/>
          <w:szCs w:val="32"/>
        </w:rPr>
        <w:t>产品质量</w:t>
      </w:r>
      <w:r>
        <w:rPr>
          <w:rFonts w:hint="eastAsia" w:ascii="仿宋_GB2312" w:hAnsi="仿宋" w:eastAsia="仿宋_GB2312"/>
          <w:color w:val="000000"/>
          <w:sz w:val="32"/>
          <w:szCs w:val="32"/>
        </w:rPr>
        <w:t>不符合有关规定所产生的费用或因</w:t>
      </w:r>
      <w:r>
        <w:rPr>
          <w:rFonts w:ascii="仿宋_GB2312" w:hAnsi="仿宋" w:eastAsia="仿宋_GB2312"/>
          <w:color w:val="000000"/>
          <w:sz w:val="32"/>
          <w:szCs w:val="32"/>
        </w:rPr>
        <w:t>配置不当发生的相关费用</w:t>
      </w:r>
      <w:r>
        <w:rPr>
          <w:rFonts w:hint="eastAsia" w:ascii="仿宋_GB2312" w:hAnsi="仿宋" w:eastAsia="仿宋_GB2312"/>
          <w:color w:val="000000"/>
          <w:sz w:val="32"/>
          <w:szCs w:val="32"/>
        </w:rPr>
        <w:t>；</w:t>
      </w:r>
    </w:p>
    <w:p w14:paraId="1BFB53CB">
      <w:pPr>
        <w:pStyle w:val="6"/>
        <w:ind w:firstLine="640" w:firstLineChars="200"/>
        <w:contextualSpacing/>
        <w:rPr>
          <w:rFonts w:hint="eastAsia" w:ascii="仿宋_GB2312" w:hAnsi="仿宋" w:eastAsia="仿宋_GB2312"/>
          <w:color w:val="000000"/>
          <w:sz w:val="32"/>
          <w:szCs w:val="32"/>
        </w:rPr>
      </w:pPr>
      <w:r>
        <w:rPr>
          <w:rFonts w:hint="eastAsia" w:ascii="仿宋_GB2312" w:hAnsi="仿宋" w:eastAsia="仿宋_GB2312"/>
          <w:color w:val="000000"/>
          <w:sz w:val="32"/>
          <w:szCs w:val="32"/>
        </w:rPr>
        <w:t>（五）其他严重违反工伤保险有关规定行为所产生的费用。</w:t>
      </w:r>
    </w:p>
    <w:p w14:paraId="393A91B4">
      <w:pPr>
        <w:pStyle w:val="6"/>
        <w:ind w:firstLine="634"/>
        <w:contextualSpacing/>
      </w:pPr>
      <w:r>
        <w:rPr>
          <w:rFonts w:hint="eastAsia" w:ascii="黑体" w:hAnsi="黑体" w:eastAsia="黑体"/>
          <w:color w:val="000000"/>
          <w:kern w:val="2"/>
          <w:sz w:val="32"/>
          <w:szCs w:val="32"/>
        </w:rPr>
        <w:t>第三十三条</w:t>
      </w:r>
      <w:r>
        <w:rPr>
          <w:rFonts w:hint="eastAsia" w:ascii="仿宋_GB2312" w:hAnsi="仿宋" w:eastAsia="仿宋_GB2312"/>
          <w:color w:val="000000"/>
          <w:kern w:val="2"/>
          <w:sz w:val="32"/>
          <w:szCs w:val="32"/>
        </w:rPr>
        <w:t xml:space="preserve">  乙方应当积极配合甲方开展工伤保险</w:t>
      </w:r>
      <w:r>
        <w:rPr>
          <w:rFonts w:ascii="仿宋_GB2312" w:hAnsi="仿宋" w:eastAsia="仿宋_GB2312"/>
          <w:color w:val="000000"/>
          <w:kern w:val="2"/>
          <w:sz w:val="32"/>
          <w:szCs w:val="32"/>
        </w:rPr>
        <w:t>支付</w:t>
      </w:r>
      <w:r>
        <w:rPr>
          <w:rFonts w:hint="eastAsia" w:ascii="仿宋_GB2312" w:hAnsi="仿宋" w:eastAsia="仿宋_GB2312"/>
          <w:color w:val="000000"/>
          <w:kern w:val="2"/>
          <w:sz w:val="32"/>
          <w:szCs w:val="32"/>
        </w:rPr>
        <w:t>方式改革。甲方有相关规定的，乙方应严格按政策规定执行。</w:t>
      </w:r>
    </w:p>
    <w:p w14:paraId="6ACCAB9B">
      <w:pPr>
        <w:pStyle w:val="8"/>
        <w:spacing w:before="0" w:after="0"/>
        <w:contextualSpacing/>
        <w:rPr>
          <w:rFonts w:ascii="黑体" w:hAnsi="黑体" w:eastAsia="黑体"/>
          <w:b w:val="0"/>
          <w:color w:val="000000"/>
        </w:rPr>
      </w:pPr>
      <w:r>
        <w:rPr>
          <w:rFonts w:hint="eastAsia" w:ascii="黑体" w:hAnsi="黑体" w:eastAsia="黑体"/>
          <w:b w:val="0"/>
          <w:color w:val="000000"/>
        </w:rPr>
        <w:t>第五章  监督检查和</w:t>
      </w:r>
      <w:r>
        <w:rPr>
          <w:rFonts w:ascii="黑体" w:hAnsi="黑体" w:eastAsia="黑体"/>
          <w:b w:val="0"/>
          <w:color w:val="000000"/>
        </w:rPr>
        <w:t>违约责任</w:t>
      </w:r>
    </w:p>
    <w:p w14:paraId="4C2955A6">
      <w:pPr>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第三十四条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hAnsi="仿宋" w:eastAsia="仿宋_GB2312"/>
          <w:color w:val="000000"/>
          <w:szCs w:val="32"/>
        </w:rPr>
        <w:t>根据工伤保险辅助器具配置有关政策规定及本协议的要求，甲方建立日常监督和定期考核相结合的监管机制。日常监督采取随机抽查、智能监控、专家评审及委托第三方专业机构检查等方式，甲方可根据举报线索或疑点数据筛查情况随时对乙方开展监督检查。定期考核根据考核评价办法，在协议期满前对乙方履行服务协议情况开展一次协议期满考核，考核结果与协议期满清算和协议续签等内容挂钩。</w:t>
      </w:r>
    </w:p>
    <w:p w14:paraId="4CC788D5">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乙方应积极参与、配合甲方开展的各项监督检查</w:t>
      </w:r>
      <w:r>
        <w:rPr>
          <w:rFonts w:ascii="仿宋_GB2312" w:hAnsi="仿宋" w:eastAsia="仿宋_GB2312"/>
          <w:color w:val="000000"/>
          <w:szCs w:val="32"/>
        </w:rPr>
        <w:t>和考核工作</w:t>
      </w:r>
      <w:r>
        <w:rPr>
          <w:rFonts w:hint="eastAsia" w:ascii="仿宋_GB2312" w:hAnsi="仿宋" w:eastAsia="仿宋_GB2312"/>
          <w:color w:val="000000"/>
          <w:szCs w:val="32"/>
        </w:rPr>
        <w:t>。</w:t>
      </w:r>
      <w:r>
        <w:rPr>
          <w:rFonts w:ascii="仿宋_GB2312" w:hAnsi="仿宋" w:eastAsia="仿宋_GB2312"/>
          <w:color w:val="000000"/>
          <w:szCs w:val="32"/>
        </w:rPr>
        <w:t>按照联动监管的要求</w:t>
      </w:r>
      <w:r>
        <w:rPr>
          <w:rFonts w:hint="eastAsia" w:ascii="仿宋_GB2312" w:hAnsi="仿宋" w:eastAsia="仿宋_GB2312"/>
          <w:color w:val="000000"/>
          <w:szCs w:val="32"/>
        </w:rPr>
        <w:t>，</w:t>
      </w:r>
      <w:r>
        <w:rPr>
          <w:rFonts w:ascii="仿宋_GB2312" w:hAnsi="仿宋" w:eastAsia="仿宋_GB2312"/>
          <w:color w:val="000000"/>
          <w:szCs w:val="32"/>
        </w:rPr>
        <w:t>其他</w:t>
      </w:r>
      <w:r>
        <w:rPr>
          <w:rFonts w:hint="eastAsia" w:ascii="仿宋_GB2312" w:hAnsi="仿宋" w:eastAsia="仿宋_GB2312"/>
          <w:color w:val="000000"/>
          <w:szCs w:val="32"/>
        </w:rPr>
        <w:t>部门</w:t>
      </w:r>
      <w:r>
        <w:rPr>
          <w:rFonts w:ascii="仿宋_GB2312" w:hAnsi="仿宋" w:eastAsia="仿宋_GB2312"/>
          <w:color w:val="000000"/>
          <w:szCs w:val="32"/>
        </w:rPr>
        <w:t>委托甲方对乙方进行</w:t>
      </w:r>
      <w:r>
        <w:rPr>
          <w:rFonts w:hint="eastAsia" w:ascii="仿宋_GB2312" w:hAnsi="仿宋" w:eastAsia="仿宋_GB2312"/>
          <w:color w:val="000000"/>
          <w:szCs w:val="32"/>
        </w:rPr>
        <w:t>监督</w:t>
      </w:r>
      <w:r>
        <w:rPr>
          <w:rFonts w:ascii="仿宋_GB2312" w:hAnsi="仿宋" w:eastAsia="仿宋_GB2312"/>
          <w:color w:val="000000"/>
          <w:szCs w:val="32"/>
        </w:rPr>
        <w:t>检查或稽核调查的，乙方应</w:t>
      </w:r>
      <w:r>
        <w:rPr>
          <w:rFonts w:hint="eastAsia" w:ascii="仿宋_GB2312" w:hAnsi="仿宋" w:eastAsia="仿宋_GB2312"/>
          <w:color w:val="000000"/>
          <w:szCs w:val="32"/>
        </w:rPr>
        <w:t>予以</w:t>
      </w:r>
      <w:r>
        <w:rPr>
          <w:rFonts w:ascii="仿宋_GB2312" w:hAnsi="仿宋" w:eastAsia="仿宋_GB2312"/>
          <w:color w:val="000000"/>
          <w:szCs w:val="32"/>
        </w:rPr>
        <w:t>配合</w:t>
      </w:r>
      <w:r>
        <w:rPr>
          <w:rFonts w:hint="eastAsia" w:ascii="仿宋_GB2312" w:hAnsi="仿宋" w:eastAsia="仿宋_GB2312"/>
          <w:color w:val="000000"/>
          <w:szCs w:val="32"/>
        </w:rPr>
        <w:t>。</w:t>
      </w:r>
    </w:p>
    <w:p w14:paraId="2267E2E5">
      <w:pPr>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第</w:t>
      </w:r>
      <w:r>
        <w:rPr>
          <w:rFonts w:hint="eastAsia" w:ascii="Times New Roman" w:hAnsi="Times New Roman" w:eastAsia="黑体"/>
          <w:kern w:val="0"/>
          <w:szCs w:val="32"/>
          <w:lang w:bidi="ar"/>
        </w:rPr>
        <w:t>三十五</w:t>
      </w:r>
      <w:r>
        <w:rPr>
          <w:rFonts w:hint="eastAsia" w:ascii="黑体" w:hAnsi="黑体" w:eastAsia="黑体"/>
          <w:color w:val="000000"/>
          <w:szCs w:val="32"/>
        </w:rPr>
        <w:t>条</w:t>
      </w:r>
      <w:r>
        <w:rPr>
          <w:rFonts w:hint="eastAsia" w:ascii="仿宋_GB2312" w:hAnsi="仿宋" w:eastAsia="仿宋_GB2312"/>
          <w:color w:val="000000"/>
          <w:szCs w:val="32"/>
        </w:rPr>
        <w:t xml:space="preserve"> </w:t>
      </w:r>
      <w:r>
        <w:rPr>
          <w:rFonts w:ascii="仿宋_GB2312" w:hAnsi="仿宋" w:eastAsia="仿宋_GB2312"/>
          <w:color w:val="000000"/>
          <w:szCs w:val="32"/>
        </w:rPr>
        <w:t xml:space="preserve"> </w:t>
      </w:r>
      <w:r>
        <w:rPr>
          <w:rFonts w:hint="eastAsia" w:ascii="仿宋_GB2312" w:hAnsi="仿宋" w:eastAsia="仿宋_GB2312"/>
          <w:color w:val="000000"/>
          <w:szCs w:val="32"/>
        </w:rPr>
        <w:t>甲方</w:t>
      </w:r>
      <w:r>
        <w:rPr>
          <w:rFonts w:ascii="仿宋_GB2312" w:hAnsi="仿宋" w:eastAsia="仿宋_GB2312"/>
          <w:color w:val="000000"/>
          <w:szCs w:val="32"/>
        </w:rPr>
        <w:t>发现乙方</w:t>
      </w:r>
      <w:r>
        <w:rPr>
          <w:rFonts w:hint="eastAsia" w:ascii="仿宋_GB2312" w:hAnsi="仿宋" w:eastAsia="仿宋_GB2312"/>
          <w:color w:val="000000"/>
          <w:szCs w:val="32"/>
        </w:rPr>
        <w:t>存在</w:t>
      </w:r>
      <w:r>
        <w:rPr>
          <w:rFonts w:ascii="仿宋_GB2312" w:hAnsi="仿宋" w:eastAsia="仿宋_GB2312"/>
          <w:color w:val="000000"/>
          <w:szCs w:val="32"/>
        </w:rPr>
        <w:t>可疑违约违规行为时，</w:t>
      </w:r>
      <w:r>
        <w:rPr>
          <w:rFonts w:hint="eastAsia" w:ascii="仿宋_GB2312" w:hAnsi="仿宋" w:eastAsia="仿宋_GB2312"/>
          <w:color w:val="000000"/>
          <w:szCs w:val="32"/>
        </w:rPr>
        <w:t>应</w:t>
      </w:r>
      <w:r>
        <w:rPr>
          <w:rFonts w:ascii="仿宋_GB2312" w:hAnsi="仿宋" w:eastAsia="仿宋_GB2312"/>
          <w:color w:val="000000"/>
          <w:szCs w:val="32"/>
        </w:rPr>
        <w:t>及时</w:t>
      </w:r>
      <w:r>
        <w:rPr>
          <w:rFonts w:hint="eastAsia" w:ascii="仿宋_GB2312" w:hAnsi="仿宋" w:eastAsia="仿宋_GB2312"/>
          <w:color w:val="000000"/>
          <w:szCs w:val="32"/>
        </w:rPr>
        <w:t>通报给</w:t>
      </w:r>
      <w:r>
        <w:rPr>
          <w:rFonts w:ascii="仿宋_GB2312" w:hAnsi="仿宋" w:eastAsia="仿宋_GB2312"/>
          <w:color w:val="000000"/>
          <w:szCs w:val="32"/>
        </w:rPr>
        <w:t>乙方，乙方应当在规定期限内做出解释说明，甲方根据规定对可疑数据做出</w:t>
      </w:r>
      <w:r>
        <w:rPr>
          <w:rFonts w:hint="eastAsia" w:ascii="仿宋_GB2312" w:hAnsi="仿宋" w:eastAsia="仿宋_GB2312"/>
          <w:color w:val="000000"/>
          <w:szCs w:val="32"/>
        </w:rPr>
        <w:t>相应</w:t>
      </w:r>
      <w:r>
        <w:rPr>
          <w:rFonts w:ascii="仿宋_GB2312" w:hAnsi="仿宋" w:eastAsia="仿宋_GB2312"/>
          <w:color w:val="000000"/>
          <w:szCs w:val="32"/>
        </w:rPr>
        <w:t>处理，不得影响</w:t>
      </w:r>
      <w:r>
        <w:rPr>
          <w:rFonts w:hint="eastAsia" w:ascii="仿宋_GB2312" w:hAnsi="仿宋" w:eastAsia="仿宋_GB2312"/>
          <w:color w:val="000000"/>
          <w:szCs w:val="32"/>
        </w:rPr>
        <w:t>工伤职工</w:t>
      </w:r>
      <w:r>
        <w:rPr>
          <w:rFonts w:ascii="仿宋_GB2312" w:hAnsi="仿宋" w:eastAsia="仿宋_GB2312"/>
          <w:color w:val="000000"/>
          <w:szCs w:val="32"/>
        </w:rPr>
        <w:t>的</w:t>
      </w:r>
      <w:r>
        <w:rPr>
          <w:rFonts w:hint="eastAsia" w:ascii="仿宋_GB2312" w:hAnsi="仿宋" w:eastAsia="仿宋_GB2312"/>
          <w:color w:val="000000"/>
          <w:szCs w:val="32"/>
        </w:rPr>
        <w:t>费用结算。</w:t>
      </w:r>
    </w:p>
    <w:p w14:paraId="26C11663">
      <w:pPr>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第</w:t>
      </w:r>
      <w:r>
        <w:rPr>
          <w:rFonts w:hint="eastAsia" w:ascii="Times New Roman" w:hAnsi="Times New Roman" w:eastAsia="黑体"/>
          <w:kern w:val="0"/>
          <w:szCs w:val="32"/>
          <w:lang w:bidi="ar"/>
        </w:rPr>
        <w:t>三十六</w:t>
      </w:r>
      <w:r>
        <w:rPr>
          <w:rFonts w:hint="eastAsia" w:ascii="黑体" w:hAnsi="黑体" w:eastAsia="黑体"/>
          <w:color w:val="000000"/>
          <w:szCs w:val="32"/>
        </w:rPr>
        <w:t xml:space="preserve">条  </w:t>
      </w:r>
      <w:r>
        <w:rPr>
          <w:rFonts w:hint="eastAsia" w:ascii="仿宋_GB2312" w:hAnsi="仿宋" w:eastAsia="仿宋_GB2312"/>
          <w:color w:val="000000"/>
          <w:szCs w:val="32"/>
        </w:rPr>
        <w:t>甲方有权对乙方申请结算的工伤辅助器具配置费用进行调查，乙方应积极配合调查。对基金支出有异常增长情况的，予以通报预警。为确保工伤保险基金安全支付，甲方有权在告知乙方后暂缓支付乙方工伤辅助器具配置费用，调查期原则上不得超过30个工作日。遇情况复杂，调查期内未完成调查核实的，调查期可适当延长。</w:t>
      </w:r>
    </w:p>
    <w:p w14:paraId="389D86DC">
      <w:pPr>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第</w:t>
      </w:r>
      <w:r>
        <w:rPr>
          <w:rFonts w:hint="eastAsia" w:ascii="Times New Roman" w:hAnsi="Times New Roman" w:eastAsia="黑体"/>
          <w:kern w:val="0"/>
          <w:szCs w:val="32"/>
          <w:lang w:bidi="ar"/>
        </w:rPr>
        <w:t>三十七</w:t>
      </w:r>
      <w:r>
        <w:rPr>
          <w:rFonts w:hint="eastAsia" w:ascii="黑体" w:hAnsi="黑体" w:eastAsia="黑体"/>
          <w:color w:val="000000"/>
          <w:szCs w:val="32"/>
        </w:rPr>
        <w:t xml:space="preserve">条  </w:t>
      </w:r>
      <w:r>
        <w:rPr>
          <w:rFonts w:hint="eastAsia" w:ascii="仿宋_GB2312" w:hAnsi="仿宋" w:eastAsia="仿宋_GB2312"/>
          <w:color w:val="000000"/>
          <w:szCs w:val="32"/>
        </w:rPr>
        <w:t>乙方负有教育及敦促其工作人员遵守工伤保险规定及本协议的责任。对于乙方</w:t>
      </w:r>
      <w:r>
        <w:rPr>
          <w:rFonts w:ascii="仿宋_GB2312" w:hAnsi="仿宋" w:eastAsia="仿宋_GB2312"/>
          <w:color w:val="000000"/>
          <w:szCs w:val="32"/>
        </w:rPr>
        <w:t>工作</w:t>
      </w:r>
      <w:r>
        <w:rPr>
          <w:rFonts w:hint="eastAsia" w:ascii="仿宋_GB2312" w:hAnsi="仿宋" w:eastAsia="仿宋_GB2312"/>
          <w:color w:val="000000"/>
          <w:szCs w:val="32"/>
        </w:rPr>
        <w:t>人员作为违规行为相关责任人的，依据违规情节，甲方有权中止相关责任人员及（或）所在部门涉及工伤保险基金使用的辅助器具配置服务，并向有关部门通报。对于乙方</w:t>
      </w:r>
      <w:r>
        <w:rPr>
          <w:rFonts w:ascii="仿宋_GB2312" w:hAnsi="仿宋" w:eastAsia="仿宋_GB2312"/>
          <w:color w:val="000000"/>
          <w:szCs w:val="32"/>
        </w:rPr>
        <w:t>工作</w:t>
      </w:r>
      <w:r>
        <w:rPr>
          <w:rFonts w:hint="eastAsia" w:ascii="仿宋_GB2312" w:hAnsi="仿宋" w:eastAsia="仿宋_GB2312"/>
          <w:color w:val="000000"/>
          <w:szCs w:val="32"/>
        </w:rPr>
        <w:t>人员被有关部门中止服务资格的，中止期间不得履行涉及工伤保险基金使用的辅助器具配置服务。</w:t>
      </w:r>
    </w:p>
    <w:p w14:paraId="1E18A0D5">
      <w:pPr>
        <w:autoSpaceDE w:val="0"/>
        <w:autoSpaceDN w:val="0"/>
        <w:adjustRightInd w:val="0"/>
        <w:ind w:firstLine="640" w:firstLineChars="200"/>
        <w:contextualSpacing/>
        <w:rPr>
          <w:rFonts w:ascii="仿宋_GB2312" w:eastAsia="仿宋_GB2312" w:cs="仿宋_GB2312"/>
          <w:kern w:val="0"/>
          <w:szCs w:val="32"/>
        </w:rPr>
      </w:pPr>
      <w:r>
        <w:rPr>
          <w:rFonts w:hint="eastAsia" w:ascii="黑体" w:hAnsi="黑体" w:eastAsia="黑体"/>
          <w:color w:val="000000"/>
          <w:szCs w:val="32"/>
        </w:rPr>
        <w:t>第</w:t>
      </w:r>
      <w:r>
        <w:rPr>
          <w:rFonts w:hint="eastAsia" w:ascii="Times New Roman" w:hAnsi="Times New Roman" w:eastAsia="黑体"/>
          <w:kern w:val="0"/>
          <w:szCs w:val="32"/>
          <w:lang w:bidi="ar"/>
        </w:rPr>
        <w:t>三十八</w:t>
      </w:r>
      <w:r>
        <w:rPr>
          <w:rFonts w:ascii="黑体" w:hAnsi="黑体" w:eastAsia="黑体"/>
          <w:color w:val="000000"/>
          <w:szCs w:val="32"/>
        </w:rPr>
        <w:t>条</w:t>
      </w:r>
      <w:r>
        <w:rPr>
          <w:rFonts w:hint="eastAsia" w:ascii="仿宋_GB2312" w:hAnsi="仿宋_GB2312" w:eastAsia="仿宋_GB2312" w:cs="仿宋_GB2312"/>
          <w:color w:val="000000"/>
          <w:szCs w:val="32"/>
        </w:rPr>
        <w:t xml:space="preserve">  甲方未按本协议规定按时足额结算配置费用的</w:t>
      </w:r>
      <w:r>
        <w:rPr>
          <w:rFonts w:hint="eastAsia" w:ascii="仿宋_GB2312" w:hAnsi="仿宋_GB2312" w:eastAsia="仿宋_GB2312" w:cs="仿宋_GB2312"/>
          <w:szCs w:val="32"/>
        </w:rPr>
        <w:t>，</w:t>
      </w:r>
      <w:r>
        <w:rPr>
          <w:rFonts w:hint="eastAsia" w:ascii="仿宋_GB2312" w:hAnsi="仿宋_GB2312" w:eastAsia="仿宋_GB2312" w:cs="仿宋_GB2312"/>
          <w:color w:val="000000"/>
          <w:szCs w:val="32"/>
        </w:rPr>
        <w:t>由人力资源社会保障行政部门责令改正；经人力资源社会保障行政部门责令改正后仍不予足额支付费用的，乙方可以解除服务协议。</w:t>
      </w:r>
    </w:p>
    <w:p w14:paraId="47C284B8">
      <w:pPr>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第</w:t>
      </w:r>
      <w:r>
        <w:rPr>
          <w:rFonts w:hint="eastAsia" w:ascii="Times New Roman" w:hAnsi="Times New Roman" w:eastAsia="黑体"/>
          <w:kern w:val="0"/>
          <w:szCs w:val="32"/>
          <w:lang w:bidi="ar"/>
        </w:rPr>
        <w:t>三十九</w:t>
      </w:r>
      <w:r>
        <w:rPr>
          <w:rFonts w:hint="eastAsia" w:ascii="黑体" w:hAnsi="黑体" w:eastAsia="黑体"/>
          <w:color w:val="000000"/>
          <w:szCs w:val="32"/>
        </w:rPr>
        <w:t>条</w:t>
      </w:r>
      <w:r>
        <w:rPr>
          <w:rFonts w:hint="eastAsia" w:ascii="黑体" w:eastAsia="黑体" w:cs="黑体"/>
          <w:kern w:val="0"/>
          <w:szCs w:val="32"/>
        </w:rPr>
        <w:t xml:space="preserve"> </w:t>
      </w:r>
      <w:r>
        <w:rPr>
          <w:rFonts w:ascii="黑体" w:eastAsia="黑体" w:cs="黑体"/>
          <w:kern w:val="0"/>
          <w:szCs w:val="32"/>
        </w:rPr>
        <w:t xml:space="preserve"> </w:t>
      </w:r>
      <w:r>
        <w:rPr>
          <w:rFonts w:hint="eastAsia" w:ascii="仿宋_GB2312" w:hAnsi="仿宋_GB2312" w:eastAsia="仿宋_GB2312" w:cs="仿宋_GB2312"/>
          <w:kern w:val="0"/>
          <w:szCs w:val="32"/>
        </w:rPr>
        <w:t>甲方在协议期内发现乙方在当期或既往协议年度</w:t>
      </w:r>
      <w:r>
        <w:rPr>
          <w:rFonts w:hint="eastAsia" w:ascii="仿宋_GB2312" w:hAnsi="仿宋" w:eastAsia="仿宋_GB2312"/>
          <w:color w:val="000000"/>
          <w:szCs w:val="32"/>
        </w:rPr>
        <w:t>有下列情形之一但</w:t>
      </w:r>
      <w:r>
        <w:rPr>
          <w:rFonts w:ascii="仿宋_GB2312" w:hAnsi="仿宋" w:eastAsia="仿宋_GB2312"/>
          <w:color w:val="000000"/>
          <w:szCs w:val="32"/>
        </w:rPr>
        <w:t>未造成工伤保险基金损失</w:t>
      </w:r>
      <w:r>
        <w:rPr>
          <w:rFonts w:hint="eastAsia" w:ascii="仿宋_GB2312" w:hAnsi="仿宋" w:eastAsia="仿宋_GB2312"/>
          <w:color w:val="000000"/>
          <w:szCs w:val="32"/>
        </w:rPr>
        <w:t>的，甲方可对</w:t>
      </w:r>
      <w:r>
        <w:rPr>
          <w:rFonts w:ascii="仿宋_GB2312" w:hAnsi="仿宋" w:eastAsia="仿宋_GB2312"/>
          <w:color w:val="000000"/>
          <w:szCs w:val="32"/>
        </w:rPr>
        <w:t>乙方作出</w:t>
      </w:r>
      <w:r>
        <w:rPr>
          <w:rFonts w:hint="eastAsia" w:ascii="仿宋_GB2312" w:hAnsi="仿宋" w:eastAsia="仿宋_GB2312"/>
          <w:color w:val="000000"/>
          <w:szCs w:val="32"/>
        </w:rPr>
        <w:t>约谈</w:t>
      </w:r>
      <w:r>
        <w:rPr>
          <w:rFonts w:hint="eastAsia" w:ascii="仿宋_GB2312" w:hAnsi="仿宋_GB2312" w:eastAsia="仿宋_GB2312" w:cs="仿宋_GB2312"/>
          <w:szCs w:val="32"/>
        </w:rPr>
        <w:t>（</w:t>
      </w:r>
      <w:r>
        <w:rPr>
          <w:rFonts w:hint="eastAsia" w:ascii="仿宋_GB2312" w:hAnsi="仿宋_GB2312" w:eastAsia="仿宋_GB2312" w:cs="仿宋_GB2312"/>
          <w:bCs/>
          <w:szCs w:val="32"/>
        </w:rPr>
        <w:t>工伤保险辅助器具配置协议机构法定代表人、主要负责人或实际控制人）</w:t>
      </w:r>
      <w:r>
        <w:rPr>
          <w:rFonts w:ascii="仿宋_GB2312" w:hAnsi="仿宋" w:eastAsia="仿宋_GB2312"/>
          <w:color w:val="000000"/>
          <w:szCs w:val="32"/>
        </w:rPr>
        <w:t>、</w:t>
      </w:r>
      <w:r>
        <w:rPr>
          <w:rFonts w:hint="eastAsia" w:ascii="仿宋_GB2312" w:hAnsi="仿宋" w:eastAsia="仿宋_GB2312"/>
          <w:color w:val="000000"/>
          <w:szCs w:val="32"/>
        </w:rPr>
        <w:t>限期整改、中止服务</w:t>
      </w:r>
      <w:r>
        <w:rPr>
          <w:rFonts w:ascii="仿宋_GB2312" w:hAnsi="仿宋" w:eastAsia="仿宋_GB2312"/>
          <w:color w:val="000000"/>
          <w:szCs w:val="32"/>
        </w:rPr>
        <w:t>协议</w:t>
      </w:r>
      <w:r>
        <w:rPr>
          <w:rFonts w:hint="eastAsia" w:ascii="仿宋_GB2312" w:hAnsi="仿宋" w:eastAsia="仿宋_GB2312"/>
          <w:color w:val="000000"/>
          <w:szCs w:val="32"/>
        </w:rPr>
        <w:t>（限期未整改或整改不到位）等</w:t>
      </w:r>
      <w:r>
        <w:rPr>
          <w:rFonts w:ascii="仿宋_GB2312" w:hAnsi="仿宋" w:eastAsia="仿宋_GB2312"/>
          <w:color w:val="000000"/>
          <w:szCs w:val="32"/>
        </w:rPr>
        <w:t>处理</w:t>
      </w:r>
      <w:r>
        <w:rPr>
          <w:rFonts w:hint="eastAsia" w:ascii="仿宋_GB2312" w:hAnsi="仿宋" w:eastAsia="仿宋_GB2312"/>
          <w:color w:val="000000"/>
          <w:szCs w:val="32"/>
        </w:rPr>
        <w:t>：</w:t>
      </w:r>
    </w:p>
    <w:p w14:paraId="5E1F4313">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（一）未按本协议要求落实工伤保险服务管理措施，相关管理制度不健全的；</w:t>
      </w:r>
    </w:p>
    <w:p w14:paraId="6E9669C1">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（二）乙方或乙方工作人员发表关于工伤保险支付、管理政策相关的不当言论，造成恶劣影响的；</w:t>
      </w:r>
    </w:p>
    <w:p w14:paraId="216086CF">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（三）无正当理由拒绝为工伤职工提供相应辅助器具配置服务的；</w:t>
      </w:r>
    </w:p>
    <w:p w14:paraId="1F0B3114">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（四）通过诱导工伤职工自费、到院外购买辅助器具等方式增加工伤职工个人负担的；</w:t>
      </w:r>
    </w:p>
    <w:p w14:paraId="328CF194">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（五）未按规定向工伤职工如实提供费用明细清单、有效费用票据等资料，或在为工伤职工配置超目录、超限额的辅助器具时不履行知情确认手续的；</w:t>
      </w:r>
    </w:p>
    <w:p w14:paraId="07090EF2">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（六）无正当理由拒绝为符合条件的工伤职工直接结算工伤辅助器具配置费用的；</w:t>
      </w:r>
    </w:p>
    <w:p w14:paraId="5564E120">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（七）对工伤职工实行不公平、歧视性</w:t>
      </w:r>
      <w:r>
        <w:rPr>
          <w:rFonts w:ascii="仿宋_GB2312" w:hAnsi="仿宋" w:eastAsia="仿宋_GB2312"/>
          <w:color w:val="000000"/>
          <w:szCs w:val="32"/>
        </w:rPr>
        <w:t>行为</w:t>
      </w:r>
      <w:r>
        <w:rPr>
          <w:rFonts w:hint="eastAsia" w:ascii="仿宋_GB2312" w:hAnsi="仿宋" w:eastAsia="仿宋_GB2312"/>
          <w:color w:val="000000"/>
          <w:szCs w:val="32"/>
        </w:rPr>
        <w:t>的；</w:t>
      </w:r>
    </w:p>
    <w:p w14:paraId="34644F8C">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（八）未</w:t>
      </w:r>
      <w:r>
        <w:rPr>
          <w:rFonts w:ascii="仿宋_GB2312" w:hAnsi="仿宋" w:eastAsia="仿宋_GB2312"/>
          <w:color w:val="000000"/>
          <w:szCs w:val="32"/>
        </w:rPr>
        <w:t>按甲方要求使用信息系统或未及时、完整、准确</w:t>
      </w:r>
      <w:r>
        <w:rPr>
          <w:rFonts w:hint="eastAsia" w:ascii="仿宋_GB2312" w:hAnsi="仿宋" w:eastAsia="仿宋_GB2312"/>
          <w:color w:val="000000"/>
          <w:szCs w:val="32"/>
        </w:rPr>
        <w:t>上传</w:t>
      </w:r>
      <w:r>
        <w:rPr>
          <w:rFonts w:ascii="仿宋_GB2312" w:hAnsi="仿宋" w:eastAsia="仿宋_GB2312"/>
          <w:color w:val="000000"/>
          <w:szCs w:val="32"/>
        </w:rPr>
        <w:t>信息数据</w:t>
      </w:r>
      <w:r>
        <w:rPr>
          <w:rFonts w:hint="eastAsia" w:ascii="仿宋_GB2312" w:hAnsi="仿宋" w:eastAsia="仿宋_GB2312"/>
          <w:color w:val="000000"/>
          <w:szCs w:val="32"/>
        </w:rPr>
        <w:t>的；</w:t>
      </w:r>
    </w:p>
    <w:p w14:paraId="50912D04">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（九）将甲方不予支付的费用、乙方按本协议约定被扣除的履约质量保证金及其支付的违约金等，作为甲方欠费处理的；</w:t>
      </w:r>
    </w:p>
    <w:p w14:paraId="7AA5A711">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（十）工伤辅助器具配置结算费用异常增长的；</w:t>
      </w:r>
    </w:p>
    <w:p w14:paraId="7F5FEFBC">
      <w:pPr>
        <w:ind w:firstLine="640" w:firstLineChars="200"/>
        <w:contextualSpacing/>
        <w:rPr>
          <w:rFonts w:ascii="仿宋_GB2312" w:hAnsi="仿宋" w:eastAsia="仿宋_GB2312"/>
          <w:color w:val="000000"/>
          <w:szCs w:val="32"/>
        </w:rPr>
      </w:pPr>
      <w:r>
        <w:rPr>
          <w:rFonts w:hint="eastAsia" w:ascii="仿宋_GB2312" w:hAnsi="仿宋" w:eastAsia="仿宋_GB2312"/>
          <w:color w:val="000000"/>
          <w:szCs w:val="32"/>
        </w:rPr>
        <w:t>（十一）未及时处理工伤职工投诉和社会监督反映问题的；</w:t>
      </w:r>
    </w:p>
    <w:p w14:paraId="5E12DD40">
      <w:pPr>
        <w:ind w:firstLine="640" w:firstLineChars="200"/>
        <w:contextualSpacing/>
        <w:rPr>
          <w:rFonts w:ascii="仿宋_GB2312" w:hAnsi="仿宋" w:eastAsia="仿宋_GB2312"/>
          <w:color w:val="000000"/>
          <w:szCs w:val="32"/>
        </w:rPr>
      </w:pPr>
      <w:r>
        <w:rPr>
          <w:rFonts w:hint="eastAsia" w:ascii="仿宋_GB2312" w:hAnsi="仿宋" w:eastAsia="仿宋_GB2312"/>
          <w:color w:val="000000"/>
          <w:szCs w:val="32"/>
        </w:rPr>
        <w:t>（十二）未及时向甲方申报本单位基本信息变更的；</w:t>
      </w:r>
    </w:p>
    <w:p w14:paraId="5EA1B32F">
      <w:pPr>
        <w:pStyle w:val="6"/>
        <w:ind w:firstLine="640" w:firstLineChars="200"/>
        <w:contextualSpacing/>
        <w:rPr>
          <w:rFonts w:hint="eastAsia" w:ascii="仿宋_GB2312" w:hAnsi="仿宋" w:eastAsia="仿宋_GB2312"/>
          <w:color w:val="000000"/>
          <w:kern w:val="2"/>
          <w:sz w:val="32"/>
          <w:szCs w:val="32"/>
        </w:rPr>
      </w:pPr>
      <w:r>
        <w:rPr>
          <w:rFonts w:hint="eastAsia" w:ascii="仿宋_GB2312" w:hAnsi="仿宋" w:eastAsia="仿宋_GB2312"/>
          <w:color w:val="000000"/>
          <w:kern w:val="2"/>
          <w:sz w:val="32"/>
          <w:szCs w:val="32"/>
        </w:rPr>
        <w:t>（十三）其他未按要求落实管理措施，但未造成基金损失的。</w:t>
      </w:r>
    </w:p>
    <w:p w14:paraId="056ECDA4">
      <w:pPr>
        <w:pStyle w:val="6"/>
        <w:ind w:firstLine="640" w:firstLineChars="200"/>
        <w:contextualSpacing/>
        <w:rPr>
          <w:rFonts w:ascii="仿宋_GB2312" w:hAnsi="仿宋" w:eastAsia="仿宋_GB2312"/>
          <w:color w:val="000000"/>
          <w:sz w:val="32"/>
          <w:szCs w:val="32"/>
        </w:rPr>
      </w:pPr>
      <w:r>
        <w:rPr>
          <w:rFonts w:hint="eastAsia" w:ascii="黑体" w:hAnsi="黑体" w:eastAsia="黑体"/>
          <w:color w:val="000000"/>
          <w:sz w:val="32"/>
          <w:szCs w:val="32"/>
        </w:rPr>
        <w:t>第</w:t>
      </w:r>
      <w:r>
        <w:rPr>
          <w:rFonts w:hint="eastAsia" w:ascii="Times New Roman" w:hAnsi="Times New Roman" w:eastAsia="黑体"/>
          <w:sz w:val="32"/>
          <w:szCs w:val="32"/>
          <w:lang w:bidi="ar"/>
        </w:rPr>
        <w:t>四十</w:t>
      </w:r>
      <w:r>
        <w:rPr>
          <w:rFonts w:hint="eastAsia" w:ascii="黑体" w:hAnsi="黑体" w:eastAsia="黑体"/>
          <w:color w:val="000000"/>
          <w:sz w:val="32"/>
          <w:szCs w:val="32"/>
        </w:rPr>
        <w:t>条</w:t>
      </w:r>
      <w:r>
        <w:rPr>
          <w:rFonts w:hint="eastAsia" w:ascii="仿宋_GB2312" w:hAnsi="仿宋" w:eastAsia="仿宋_GB2312"/>
          <w:color w:val="000000"/>
          <w:sz w:val="32"/>
          <w:szCs w:val="32"/>
        </w:rPr>
        <w:t xml:space="preserve"> </w:t>
      </w:r>
      <w:r>
        <w:rPr>
          <w:rFonts w:ascii="仿宋_GB2312" w:hAnsi="仿宋" w:eastAsia="仿宋_GB2312"/>
          <w:color w:val="000000"/>
          <w:sz w:val="32"/>
          <w:szCs w:val="32"/>
        </w:rPr>
        <w:t xml:space="preserve"> </w:t>
      </w:r>
      <w:r>
        <w:rPr>
          <w:rFonts w:hint="eastAsia" w:ascii="仿宋_GB2312" w:hAnsi="仿宋" w:eastAsia="仿宋_GB2312"/>
          <w:color w:val="000000"/>
          <w:sz w:val="32"/>
          <w:szCs w:val="32"/>
        </w:rPr>
        <w:t>乙方有下列情形之一的，</w:t>
      </w:r>
      <w:r>
        <w:rPr>
          <w:rFonts w:hint="eastAsia" w:ascii="仿宋_GB2312" w:hAnsi="仿宋_GB2312" w:eastAsia="仿宋_GB2312" w:cs="仿宋_GB2312"/>
          <w:sz w:val="32"/>
          <w:szCs w:val="32"/>
        </w:rPr>
        <w:t>或有第三十九条情形且造成工伤保险基金较大损失、社会影响较大的，</w:t>
      </w:r>
      <w:r>
        <w:rPr>
          <w:rFonts w:hint="eastAsia" w:ascii="仿宋_GB2312" w:hAnsi="仿宋" w:eastAsia="仿宋_GB2312"/>
          <w:color w:val="000000"/>
          <w:sz w:val="32"/>
          <w:szCs w:val="32"/>
        </w:rPr>
        <w:t>甲方视情节轻重可</w:t>
      </w:r>
      <w:r>
        <w:rPr>
          <w:rFonts w:ascii="仿宋_GB2312" w:hAnsi="仿宋" w:eastAsia="仿宋_GB2312"/>
          <w:color w:val="000000"/>
          <w:sz w:val="32"/>
          <w:szCs w:val="32"/>
        </w:rPr>
        <w:t>对乙方予以暂缓支付</w:t>
      </w:r>
      <w:r>
        <w:rPr>
          <w:rFonts w:hint="eastAsia" w:ascii="仿宋_GB2312" w:hAnsi="仿宋" w:eastAsia="仿宋_GB2312"/>
          <w:color w:val="000000"/>
          <w:sz w:val="32"/>
          <w:szCs w:val="32"/>
        </w:rPr>
        <w:t>、中止服务</w:t>
      </w:r>
      <w:r>
        <w:rPr>
          <w:rFonts w:ascii="仿宋_GB2312" w:hAnsi="仿宋" w:eastAsia="仿宋_GB2312"/>
          <w:color w:val="000000"/>
          <w:sz w:val="32"/>
          <w:szCs w:val="32"/>
        </w:rPr>
        <w:t>协议等处理，</w:t>
      </w:r>
      <w:r>
        <w:rPr>
          <w:rFonts w:hint="eastAsia" w:ascii="仿宋_GB2312" w:hAnsi="仿宋_GB2312" w:eastAsia="仿宋_GB2312" w:cs="仿宋_GB2312"/>
          <w:kern w:val="2"/>
          <w:sz w:val="32"/>
          <w:szCs w:val="32"/>
        </w:rPr>
        <w:t>追回（拒付）违规费用，并限期整改。</w:t>
      </w:r>
      <w:r>
        <w:rPr>
          <w:rFonts w:hint="eastAsia" w:ascii="仿宋_GB2312" w:hAnsi="仿宋" w:eastAsia="仿宋_GB2312"/>
          <w:color w:val="000000"/>
          <w:sz w:val="32"/>
          <w:szCs w:val="32"/>
        </w:rPr>
        <w:t>甲方可要求乙方支付违约金，违约金原则上不得超过乙方违规使用工伤保险基金的30%：</w:t>
      </w:r>
    </w:p>
    <w:p w14:paraId="0B88EA85">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（一）未按规定核验工伤职工身份</w:t>
      </w:r>
      <w:r>
        <w:rPr>
          <w:rFonts w:hint="eastAsia" w:ascii="仿宋_GB2312" w:hAnsi="仿宋_GB2312" w:eastAsia="仿宋_GB2312" w:cs="仿宋_GB2312"/>
          <w:kern w:val="0"/>
          <w:szCs w:val="32"/>
        </w:rPr>
        <w:t>凭证</w:t>
      </w:r>
      <w:r>
        <w:rPr>
          <w:rFonts w:hint="eastAsia" w:ascii="仿宋_GB2312" w:hAnsi="仿宋" w:eastAsia="仿宋_GB2312"/>
          <w:color w:val="000000"/>
          <w:szCs w:val="32"/>
        </w:rPr>
        <w:t>和配置费用核付通知单的；</w:t>
      </w:r>
    </w:p>
    <w:p w14:paraId="3951B75E">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（二）未如实记录配置服务事项、未建立工伤职工配置服务档案的；</w:t>
      </w:r>
    </w:p>
    <w:p w14:paraId="5985ECAF">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（三）违反辅助器具配置管理服务标准，侵害工伤职工合法权益的；</w:t>
      </w:r>
    </w:p>
    <w:p w14:paraId="7D0AC7A7">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（四）因产品质量不符合规定被查实的；</w:t>
      </w:r>
    </w:p>
    <w:p w14:paraId="33038577">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（五）乱收费或擅自提高配置辅助器具费用的；</w:t>
      </w:r>
    </w:p>
    <w:p w14:paraId="316FF6CB">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（六）未按售后服务承诺提供服务的；</w:t>
      </w:r>
    </w:p>
    <w:p w14:paraId="77C01833">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（七）将非工伤职工的辅助器具配置费用纳入工伤职工辅助器具配置费用进行结算，骗取工伤保险基金的；</w:t>
      </w:r>
    </w:p>
    <w:p w14:paraId="7CA36030">
      <w:pPr>
        <w:pStyle w:val="6"/>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（八）采取串通工伤职工、参保单位，通过</w:t>
      </w:r>
      <w:r>
        <w:rPr>
          <w:rFonts w:ascii="Times New Roman" w:hAnsi="Times New Roman" w:eastAsia="仿宋_GB2312"/>
          <w:sz w:val="32"/>
          <w:szCs w:val="32"/>
          <w:lang w:bidi="ar"/>
        </w:rPr>
        <w:t>虚假配置、重复配置、串换配置</w:t>
      </w:r>
      <w:r>
        <w:rPr>
          <w:rFonts w:hint="eastAsia" w:ascii="仿宋_GB2312" w:hAnsi="仿宋_GB2312" w:eastAsia="仿宋_GB2312" w:cs="仿宋_GB2312"/>
          <w:sz w:val="32"/>
          <w:szCs w:val="32"/>
        </w:rPr>
        <w:t>或其他手段，骗取工伤保险基金的；</w:t>
      </w:r>
    </w:p>
    <w:p w14:paraId="4DA76BAA">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（九）为工伤职工利用其享受工伤辅助器具配置待遇的机会转卖辅助器具，接受返还现金、实物或者获得其他非法利益提供便利的；</w:t>
      </w:r>
    </w:p>
    <w:p w14:paraId="55AB12AB">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（十）受到约谈处理，未按要求进行纠正的或协议有效期内被约谈处理2次（含2次）以上的；</w:t>
      </w:r>
    </w:p>
    <w:p w14:paraId="28FFB178">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（十一）按要求应退回违规费用等，未按要求及时退回的；</w:t>
      </w:r>
    </w:p>
    <w:p w14:paraId="0C1E6DE1">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十二）对接江西省社会保险信息系统的网络、设备未与互联网物理隔离，与其它外部网络联网时未采用有效的安全及隔离措施的；未遵守个人信息保护和数据安全有关制度，导致工伤职工个人信息或工伤保险数据泄露的；</w:t>
      </w:r>
    </w:p>
    <w:p w14:paraId="7A39F3FB">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（十三）根据协议履行</w:t>
      </w:r>
      <w:bookmarkStart w:id="0" w:name="_GoBack"/>
      <w:r>
        <w:rPr>
          <w:rFonts w:hint="eastAsia" w:ascii="仿宋_GB2312" w:hAnsi="仿宋" w:eastAsia="仿宋_GB2312"/>
          <w:color w:val="000000"/>
          <w:szCs w:val="32"/>
        </w:rPr>
        <w:t>核查</w:t>
      </w:r>
      <w:bookmarkEnd w:id="0"/>
      <w:r>
        <w:rPr>
          <w:rFonts w:hint="eastAsia" w:ascii="仿宋_GB2312" w:hAnsi="仿宋" w:eastAsia="仿宋_GB2312"/>
          <w:color w:val="000000"/>
          <w:szCs w:val="32"/>
        </w:rPr>
        <w:t>，发现对工伤保险基金安全和工伤职工权益可能造成重大风险的；</w:t>
      </w:r>
    </w:p>
    <w:p w14:paraId="221A0AB2">
      <w:pPr>
        <w:pStyle w:val="6"/>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w:t>
      </w:r>
      <w:r>
        <w:rPr>
          <w:rFonts w:hint="eastAsia" w:ascii="仿宋_GB2312" w:hAnsi="仿宋_GB2312" w:eastAsia="仿宋_GB2312" w:cs="仿宋_GB2312"/>
          <w:bCs/>
          <w:kern w:val="2"/>
          <w:sz w:val="32"/>
          <w:szCs w:val="32"/>
        </w:rPr>
        <w:t>其他未按本协议要求落实管理服务措施的；</w:t>
      </w:r>
    </w:p>
    <w:p w14:paraId="28393921">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（十五）其他造成工伤保险基金损失的违约</w:t>
      </w:r>
      <w:r>
        <w:rPr>
          <w:rFonts w:ascii="仿宋_GB2312" w:hAnsi="仿宋" w:eastAsia="仿宋_GB2312"/>
          <w:color w:val="000000"/>
          <w:szCs w:val="32"/>
        </w:rPr>
        <w:t>或违法</w:t>
      </w:r>
      <w:r>
        <w:rPr>
          <w:rFonts w:hint="eastAsia" w:ascii="仿宋_GB2312" w:hAnsi="仿宋" w:eastAsia="仿宋_GB2312"/>
          <w:color w:val="000000"/>
          <w:szCs w:val="32"/>
        </w:rPr>
        <w:t>行为。</w:t>
      </w:r>
    </w:p>
    <w:p w14:paraId="3993254B">
      <w:pPr>
        <w:ind w:firstLine="640" w:firstLineChars="200"/>
        <w:contextualSpacing/>
        <w:rPr>
          <w:rFonts w:hint="eastAsia" w:ascii="仿宋_GB2312" w:hAnsi="仿宋" w:eastAsia="仿宋_GB2312"/>
          <w:color w:val="000000"/>
          <w:szCs w:val="32"/>
        </w:rPr>
      </w:pPr>
      <w:r>
        <w:rPr>
          <w:rFonts w:hint="eastAsia" w:ascii="黑体" w:hAnsi="黑体" w:eastAsia="黑体"/>
          <w:bCs/>
          <w:color w:val="000000"/>
          <w:szCs w:val="32"/>
        </w:rPr>
        <w:t>第</w:t>
      </w:r>
      <w:r>
        <w:rPr>
          <w:rFonts w:hint="eastAsia" w:ascii="Times New Roman" w:hAnsi="Times New Roman" w:eastAsia="黑体"/>
          <w:kern w:val="0"/>
          <w:szCs w:val="32"/>
          <w:lang w:bidi="ar"/>
        </w:rPr>
        <w:t>四十</w:t>
      </w:r>
      <w:r>
        <w:rPr>
          <w:rFonts w:hint="eastAsia" w:ascii="黑体" w:hAnsi="黑体" w:eastAsia="黑体"/>
          <w:bCs/>
          <w:color w:val="000000"/>
          <w:szCs w:val="32"/>
        </w:rPr>
        <w:t>一条</w:t>
      </w:r>
      <w:r>
        <w:rPr>
          <w:rFonts w:hint="eastAsia" w:ascii="仿宋_GB2312" w:hAnsi="仿宋" w:eastAsia="仿宋_GB2312"/>
          <w:b/>
          <w:bCs/>
          <w:color w:val="000000"/>
          <w:szCs w:val="32"/>
        </w:rPr>
        <w:t xml:space="preserve"> </w:t>
      </w:r>
      <w:r>
        <w:rPr>
          <w:rFonts w:ascii="仿宋_GB2312" w:hAnsi="仿宋" w:eastAsia="仿宋_GB2312"/>
          <w:b/>
          <w:bCs/>
          <w:color w:val="000000"/>
          <w:szCs w:val="32"/>
        </w:rPr>
        <w:t xml:space="preserve"> </w:t>
      </w:r>
      <w:r>
        <w:rPr>
          <w:rFonts w:hint="eastAsia" w:ascii="仿宋_GB2312" w:hAnsi="仿宋" w:eastAsia="仿宋_GB2312"/>
          <w:color w:val="000000"/>
          <w:szCs w:val="32"/>
        </w:rPr>
        <w:t>乙方发生以下违约违法行为的，</w:t>
      </w:r>
      <w:r>
        <w:rPr>
          <w:rFonts w:hint="eastAsia" w:ascii="仿宋_GB2312" w:hAnsi="仿宋_GB2312" w:eastAsia="仿宋_GB2312" w:cs="仿宋_GB2312"/>
          <w:szCs w:val="32"/>
        </w:rPr>
        <w:t>或有</w:t>
      </w:r>
      <w:r>
        <w:rPr>
          <w:rFonts w:hint="eastAsia" w:ascii="仿宋_GB2312" w:hAnsi="仿宋" w:eastAsia="仿宋_GB2312"/>
          <w:color w:val="000000"/>
          <w:szCs w:val="32"/>
        </w:rPr>
        <w:t>第四十</w:t>
      </w:r>
      <w:r>
        <w:rPr>
          <w:rFonts w:hint="eastAsia" w:ascii="仿宋_GB2312" w:hAnsi="仿宋_GB2312" w:eastAsia="仿宋_GB2312" w:cs="仿宋_GB2312"/>
          <w:szCs w:val="32"/>
        </w:rPr>
        <w:t>条情形且性质恶劣、社会影响严重、造成工伤保险基金重大损失的，甲方追回（拒付）违规费用，</w:t>
      </w:r>
      <w:r>
        <w:rPr>
          <w:rFonts w:hint="eastAsia" w:ascii="仿宋_GB2312" w:hAnsi="仿宋" w:eastAsia="仿宋_GB2312"/>
          <w:color w:val="000000"/>
          <w:szCs w:val="32"/>
        </w:rPr>
        <w:t>一律解除服务协议，并向社会公布解除服务协议情况。甲方可要求乙方支付违约金，违约金原则上不得超过乙方违规使用工伤保险基金的</w:t>
      </w:r>
      <w:r>
        <w:rPr>
          <w:rFonts w:ascii="仿宋_GB2312" w:hAnsi="仿宋" w:eastAsia="仿宋_GB2312"/>
          <w:color w:val="000000"/>
          <w:szCs w:val="32"/>
        </w:rPr>
        <w:t>50</w:t>
      </w:r>
      <w:r>
        <w:rPr>
          <w:rFonts w:hint="eastAsia" w:ascii="仿宋_GB2312" w:hAnsi="仿宋" w:eastAsia="仿宋_GB2312"/>
          <w:color w:val="000000"/>
          <w:szCs w:val="32"/>
        </w:rPr>
        <w:t>%：</w:t>
      </w:r>
    </w:p>
    <w:p w14:paraId="78F481BD">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（一）丧失协议机构准入资质的；</w:t>
      </w:r>
    </w:p>
    <w:p w14:paraId="04596914">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（二）涉及编造虚假记录、虚假配置辅助器具情节严重的，及经人力资源社会保障行政部门和其他有关部门查实有其他欺诈骗保行为的；</w:t>
      </w:r>
    </w:p>
    <w:p w14:paraId="6B276D83">
      <w:pPr>
        <w:ind w:firstLine="640" w:firstLineChars="200"/>
        <w:contextualSpacing/>
        <w:rPr>
          <w:rFonts w:ascii="仿宋_GB2312" w:hAnsi="仿宋" w:eastAsia="仿宋_GB2312"/>
          <w:color w:val="000000"/>
          <w:szCs w:val="32"/>
        </w:rPr>
      </w:pPr>
      <w:r>
        <w:rPr>
          <w:rFonts w:hint="eastAsia" w:ascii="仿宋_GB2312" w:hAnsi="仿宋" w:eastAsia="仿宋_GB2312"/>
          <w:color w:val="000000"/>
          <w:szCs w:val="32"/>
        </w:rPr>
        <w:t>（三）拒绝、阻挠或不配合人力资源社会保障部门开展智能审核、监督检查等，情节恶劣的；</w:t>
      </w:r>
    </w:p>
    <w:p w14:paraId="27698F62">
      <w:pPr>
        <w:ind w:firstLine="640" w:firstLineChars="200"/>
        <w:contextualSpacing/>
        <w:rPr>
          <w:rFonts w:ascii="仿宋_GB2312" w:hAnsi="仿宋" w:eastAsia="仿宋_GB2312"/>
          <w:color w:val="000000"/>
          <w:szCs w:val="32"/>
        </w:rPr>
      </w:pPr>
      <w:r>
        <w:rPr>
          <w:rFonts w:hint="eastAsia" w:ascii="仿宋_GB2312" w:hAnsi="仿宋" w:eastAsia="仿宋_GB2312"/>
          <w:color w:val="000000"/>
          <w:szCs w:val="32"/>
        </w:rPr>
        <w:t>（四）协议有效期内，因违法违规累计</w:t>
      </w:r>
      <w:r>
        <w:rPr>
          <w:rFonts w:ascii="仿宋_GB2312" w:hAnsi="仿宋" w:eastAsia="仿宋_GB2312"/>
          <w:color w:val="000000"/>
          <w:szCs w:val="32"/>
        </w:rPr>
        <w:t>2次</w:t>
      </w:r>
      <w:r>
        <w:rPr>
          <w:rFonts w:hint="eastAsia" w:ascii="仿宋_GB2312" w:hAnsi="仿宋" w:eastAsia="仿宋_GB2312"/>
          <w:color w:val="000000"/>
          <w:szCs w:val="32"/>
        </w:rPr>
        <w:t>及以上</w:t>
      </w:r>
      <w:r>
        <w:rPr>
          <w:rFonts w:ascii="仿宋_GB2312" w:hAnsi="仿宋" w:eastAsia="仿宋_GB2312"/>
          <w:color w:val="000000"/>
          <w:szCs w:val="32"/>
        </w:rPr>
        <w:t>被</w:t>
      </w:r>
      <w:r>
        <w:rPr>
          <w:rFonts w:hint="eastAsia" w:ascii="仿宋_GB2312" w:hAnsi="仿宋" w:eastAsia="仿宋_GB2312"/>
          <w:color w:val="000000"/>
          <w:szCs w:val="32"/>
        </w:rPr>
        <w:t>中止服务</w:t>
      </w:r>
      <w:r>
        <w:rPr>
          <w:rFonts w:ascii="仿宋_GB2312" w:hAnsi="仿宋" w:eastAsia="仿宋_GB2312"/>
          <w:color w:val="000000"/>
          <w:szCs w:val="32"/>
        </w:rPr>
        <w:t>协议或</w:t>
      </w:r>
      <w:r>
        <w:rPr>
          <w:rFonts w:hint="eastAsia" w:ascii="仿宋_GB2312" w:hAnsi="仿宋" w:eastAsia="仿宋_GB2312"/>
          <w:color w:val="000000"/>
          <w:szCs w:val="32"/>
        </w:rPr>
        <w:t>中止服务</w:t>
      </w:r>
      <w:r>
        <w:rPr>
          <w:rFonts w:ascii="仿宋_GB2312" w:hAnsi="仿宋" w:eastAsia="仿宋_GB2312"/>
          <w:color w:val="000000"/>
          <w:szCs w:val="32"/>
        </w:rPr>
        <w:t>协议期间未按时限要求整改或整改不到位的；</w:t>
      </w:r>
    </w:p>
    <w:p w14:paraId="7073732B">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（五）以弄虚作假等不正当手段申请取得工伤保险辅助器具配置</w:t>
      </w:r>
      <w:r>
        <w:rPr>
          <w:rFonts w:ascii="仿宋_GB2312" w:hAnsi="仿宋" w:eastAsia="仿宋_GB2312"/>
          <w:color w:val="000000"/>
          <w:szCs w:val="32"/>
        </w:rPr>
        <w:t>协议</w:t>
      </w:r>
      <w:r>
        <w:rPr>
          <w:rFonts w:hint="eastAsia" w:ascii="仿宋_GB2312" w:hAnsi="仿宋" w:eastAsia="仿宋_GB2312"/>
          <w:color w:val="000000"/>
          <w:szCs w:val="32"/>
        </w:rPr>
        <w:t>机构资格的；</w:t>
      </w:r>
    </w:p>
    <w:p w14:paraId="333EA1EB">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（六）中止服务协议期间仍提供工伤</w:t>
      </w:r>
      <w:r>
        <w:rPr>
          <w:rFonts w:hint="eastAsia" w:ascii="仿宋_GB2312" w:hAnsi="仿宋_GB2312" w:eastAsia="仿宋_GB2312" w:cs="仿宋_GB2312"/>
          <w:szCs w:val="32"/>
        </w:rPr>
        <w:t>辅助器具配置</w:t>
      </w:r>
      <w:r>
        <w:rPr>
          <w:rFonts w:hint="eastAsia" w:ascii="仿宋_GB2312" w:hAnsi="仿宋" w:eastAsia="仿宋_GB2312"/>
          <w:color w:val="000000"/>
          <w:szCs w:val="32"/>
        </w:rPr>
        <w:t>服务的；</w:t>
      </w:r>
    </w:p>
    <w:p w14:paraId="1B40056B">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（七）法定代表人、主要负责人或实际控制人不能履行服务协议约定，或有违法失信行为的；</w:t>
      </w:r>
    </w:p>
    <w:p w14:paraId="498514EF">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（八）使用无执业资质人员开展工伤</w:t>
      </w:r>
      <w:r>
        <w:rPr>
          <w:rFonts w:hint="eastAsia" w:ascii="仿宋_GB2312" w:hAnsi="仿宋_GB2312" w:eastAsia="仿宋_GB2312" w:cs="仿宋_GB2312"/>
          <w:szCs w:val="32"/>
        </w:rPr>
        <w:t>辅助器具配置</w:t>
      </w:r>
      <w:r>
        <w:rPr>
          <w:rFonts w:hint="eastAsia" w:ascii="仿宋_GB2312" w:hAnsi="仿宋" w:eastAsia="仿宋_GB2312"/>
          <w:color w:val="000000"/>
          <w:szCs w:val="32"/>
        </w:rPr>
        <w:t>服务并将相关费用纳入工伤保险基金支付的；</w:t>
      </w:r>
    </w:p>
    <w:p w14:paraId="7FD24359">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（九）停业或歇业后未按规定向甲方报告的；</w:t>
      </w:r>
    </w:p>
    <w:p w14:paraId="316C9DF9">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（十）人力资源社会保障行政部门或其他有关部门在行政执法中发现乙方存在重大违法违规行为且可能造成工伤保险基金重大损失的；</w:t>
      </w:r>
    </w:p>
    <w:p w14:paraId="59A6C00B">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（十一）未依法履行</w:t>
      </w:r>
      <w:r>
        <w:rPr>
          <w:rFonts w:hint="eastAsia" w:ascii="仿宋_GB2312" w:hAnsi="仿宋_GB2312" w:eastAsia="仿宋_GB2312" w:cs="仿宋_GB2312"/>
          <w:szCs w:val="32"/>
        </w:rPr>
        <w:t>人力资源社会保障行政</w:t>
      </w:r>
      <w:r>
        <w:rPr>
          <w:rFonts w:hint="eastAsia" w:ascii="仿宋_GB2312" w:hAnsi="仿宋" w:eastAsia="仿宋_GB2312"/>
          <w:color w:val="000000"/>
          <w:szCs w:val="32"/>
        </w:rPr>
        <w:t>部门作出的行政处罚决定的；</w:t>
      </w:r>
    </w:p>
    <w:p w14:paraId="20EEB0CB">
      <w:pPr>
        <w:ind w:firstLine="640" w:firstLineChars="200"/>
        <w:contextualSpacing/>
        <w:rPr>
          <w:rFonts w:ascii="仿宋_GB2312" w:hAnsi="仿宋" w:eastAsia="仿宋_GB2312"/>
          <w:color w:val="000000"/>
          <w:szCs w:val="32"/>
        </w:rPr>
      </w:pPr>
      <w:r>
        <w:rPr>
          <w:rFonts w:hint="eastAsia" w:ascii="仿宋_GB2312" w:hAnsi="仿宋" w:eastAsia="仿宋_GB2312"/>
          <w:color w:val="000000"/>
          <w:szCs w:val="32"/>
        </w:rPr>
        <w:t>（十二）被吊销《医疗机构执业许可证》或《营业执照》的；</w:t>
      </w:r>
    </w:p>
    <w:p w14:paraId="27FE5288">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（十三）被解除基本医疗保险服务协议的；</w:t>
      </w:r>
    </w:p>
    <w:p w14:paraId="0837D56C">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（十四）其他造成严重后果或重大影响（媒体曝光、行业审计等）的违规行为；</w:t>
      </w:r>
    </w:p>
    <w:p w14:paraId="0A0BAD27">
      <w:pPr>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（十五）法律法规和规章规定的应当解除的其他情形。</w:t>
      </w:r>
    </w:p>
    <w:p w14:paraId="6551D293">
      <w:pPr>
        <w:tabs>
          <w:tab w:val="left" w:pos="0"/>
        </w:tabs>
        <w:ind w:firstLine="640" w:firstLineChars="200"/>
        <w:contextualSpacing/>
        <w:rPr>
          <w:rFonts w:hint="eastAsia" w:ascii="仿宋_GB2312" w:hAnsi="仿宋" w:eastAsia="仿宋_GB2312"/>
          <w:color w:val="000000"/>
          <w:szCs w:val="32"/>
        </w:rPr>
      </w:pPr>
      <w:r>
        <w:rPr>
          <w:rFonts w:hint="eastAsia" w:ascii="黑体" w:hAnsi="黑体" w:eastAsia="黑体" w:cs="仿宋_GB2312"/>
          <w:kern w:val="0"/>
          <w:szCs w:val="32"/>
        </w:rPr>
        <w:t>第</w:t>
      </w:r>
      <w:r>
        <w:rPr>
          <w:rFonts w:hint="eastAsia" w:ascii="Times New Roman" w:hAnsi="Times New Roman" w:eastAsia="黑体"/>
          <w:kern w:val="0"/>
          <w:szCs w:val="32"/>
          <w:lang w:bidi="ar"/>
        </w:rPr>
        <w:t>四十</w:t>
      </w:r>
      <w:r>
        <w:rPr>
          <w:rFonts w:hint="eastAsia" w:ascii="黑体" w:hAnsi="黑体" w:eastAsia="黑体" w:cs="仿宋_GB2312"/>
          <w:kern w:val="0"/>
          <w:szCs w:val="32"/>
        </w:rPr>
        <w:t>二条</w:t>
      </w:r>
      <w:r>
        <w:rPr>
          <w:rFonts w:hint="eastAsia" w:ascii="仿宋_GB2312" w:hAnsi="仿宋_GB2312" w:eastAsia="仿宋_GB2312" w:cs="仿宋_GB2312"/>
          <w:szCs w:val="32"/>
        </w:rPr>
        <w:t xml:space="preserve"> </w:t>
      </w:r>
      <w:r>
        <w:rPr>
          <w:rFonts w:hint="eastAsia" w:ascii="仿宋_GB2312" w:hAnsi="仿宋_GB2312" w:cs="仿宋_GB2312"/>
          <w:szCs w:val="32"/>
        </w:rPr>
        <w:t xml:space="preserve"> </w:t>
      </w:r>
      <w:r>
        <w:rPr>
          <w:rFonts w:hint="eastAsia" w:ascii="仿宋_GB2312" w:hAnsi="仿宋" w:eastAsia="仿宋_GB2312"/>
          <w:color w:val="000000"/>
          <w:szCs w:val="32"/>
        </w:rPr>
        <w:t>解除、终止服务协议的，乙方再次提出签订工伤保险辅助器具配置服务协议时，按新增工伤保险辅助器具配置协议机构规定办理。</w:t>
      </w:r>
    </w:p>
    <w:p w14:paraId="4F2939FB">
      <w:pPr>
        <w:tabs>
          <w:tab w:val="left" w:pos="0"/>
        </w:tabs>
        <w:ind w:firstLine="640" w:firstLineChars="200"/>
        <w:contextualSpacing/>
        <w:rPr>
          <w:rFonts w:hint="eastAsia" w:ascii="仿宋_GB2312" w:hAnsi="仿宋_GB2312" w:eastAsia="仿宋_GB2312" w:cs="仿宋_GB2312"/>
          <w:szCs w:val="32"/>
        </w:rPr>
      </w:pPr>
      <w:r>
        <w:rPr>
          <w:rFonts w:hint="eastAsia" w:ascii="黑体" w:hAnsi="黑体" w:eastAsia="黑体" w:cs="仿宋_GB2312"/>
          <w:kern w:val="0"/>
          <w:szCs w:val="32"/>
        </w:rPr>
        <w:t>第四十三条</w:t>
      </w:r>
      <w:r>
        <w:rPr>
          <w:rFonts w:hint="eastAsia" w:ascii="仿宋_GB2312" w:hAnsi="仿宋_GB2312" w:eastAsia="仿宋_GB2312" w:cs="仿宋_GB2312"/>
          <w:szCs w:val="32"/>
        </w:rPr>
        <w:t xml:space="preserve"> </w:t>
      </w:r>
      <w:r>
        <w:rPr>
          <w:rFonts w:hint="eastAsia" w:ascii="仿宋_GB2312" w:hAnsi="仿宋_GB2312" w:cs="仿宋_GB2312"/>
          <w:szCs w:val="32"/>
        </w:rPr>
        <w:t xml:space="preserve"> </w:t>
      </w:r>
      <w:r>
        <w:rPr>
          <w:rFonts w:hint="eastAsia" w:ascii="仿宋_GB2312" w:hAnsi="仿宋" w:eastAsia="仿宋_GB2312"/>
          <w:color w:val="000000"/>
          <w:szCs w:val="32"/>
        </w:rPr>
        <w:t>中止、解除服务协议的，甲方应书面通知乙方，自书面通知之日起中止、解除服务协议生效。乙方</w:t>
      </w:r>
      <w:r>
        <w:rPr>
          <w:rFonts w:hint="eastAsia" w:ascii="仿宋_GB2312" w:hAnsi="仿宋_GB2312" w:eastAsia="仿宋_GB2312" w:cs="仿宋_GB2312"/>
          <w:szCs w:val="32"/>
        </w:rPr>
        <w:t>被给予中止、解除服务协议处理的，至中止、解除服务协议生效期间，原则上不可承接新的工伤职工辅助器具配置业务。</w:t>
      </w:r>
      <w:r>
        <w:rPr>
          <w:rFonts w:hint="eastAsia" w:ascii="仿宋_GB2312" w:hAnsi="仿宋" w:eastAsia="仿宋_GB2312"/>
          <w:color w:val="000000"/>
          <w:szCs w:val="32"/>
        </w:rPr>
        <w:t>协议中止、解除前已受理但尚未完成配置的工伤职工，其相关费用在辅助器具配置完成后由即时结算改为线下结算。</w:t>
      </w:r>
    </w:p>
    <w:p w14:paraId="6E8EA1CB">
      <w:pPr>
        <w:tabs>
          <w:tab w:val="left" w:pos="0"/>
        </w:tabs>
        <w:ind w:firstLine="640" w:firstLineChars="200"/>
        <w:contextualSpacing/>
        <w:rPr>
          <w:rFonts w:hint="eastAsia" w:ascii="仿宋_GB2312" w:hAnsi="仿宋_GB2312" w:eastAsia="仿宋_GB2312" w:cs="仿宋_GB2312"/>
          <w:szCs w:val="32"/>
        </w:rPr>
      </w:pPr>
      <w:r>
        <w:rPr>
          <w:rFonts w:hint="eastAsia" w:ascii="黑体" w:hAnsi="黑体" w:eastAsia="黑体" w:cs="仿宋_GB2312"/>
          <w:kern w:val="0"/>
          <w:szCs w:val="32"/>
        </w:rPr>
        <w:t>第四十四条</w:t>
      </w:r>
      <w:r>
        <w:rPr>
          <w:rFonts w:hint="eastAsia" w:ascii="仿宋_GB2312" w:hAnsi="仿宋_GB2312" w:eastAsia="仿宋_GB2312" w:cs="仿宋_GB2312"/>
          <w:szCs w:val="32"/>
        </w:rPr>
        <w:t xml:space="preserve"> </w:t>
      </w:r>
      <w:r>
        <w:rPr>
          <w:rFonts w:hint="eastAsia" w:ascii="仿宋_GB2312" w:hAnsi="仿宋_GB2312" w:cs="仿宋_GB2312"/>
          <w:szCs w:val="32"/>
        </w:rPr>
        <w:t xml:space="preserve"> </w:t>
      </w:r>
      <w:r>
        <w:rPr>
          <w:rFonts w:hint="eastAsia" w:ascii="仿宋_GB2312" w:hAnsi="仿宋_GB2312" w:eastAsia="仿宋_GB2312" w:cs="仿宋_GB2312"/>
          <w:szCs w:val="32"/>
        </w:rPr>
        <w:t>中止、解除、终止服务协议的工伤保险辅助器具配置协议机构应积极做好善后处理工作，如存在应退还工伤保险基金费用的情况，应按规定时限完成退款事宜。</w:t>
      </w:r>
    </w:p>
    <w:p w14:paraId="68D5E4D8">
      <w:pPr>
        <w:tabs>
          <w:tab w:val="left" w:pos="0"/>
        </w:tabs>
        <w:ind w:firstLine="640" w:firstLineChars="200"/>
        <w:contextualSpacing/>
        <w:rPr>
          <w:rFonts w:hint="eastAsia" w:ascii="仿宋_GB2312" w:hAnsi="仿宋_GB2312" w:eastAsia="仿宋_GB2312" w:cs="仿宋_GB2312"/>
          <w:szCs w:val="32"/>
        </w:rPr>
      </w:pPr>
      <w:r>
        <w:rPr>
          <w:rFonts w:hint="eastAsia" w:ascii="黑体" w:hAnsi="黑体" w:eastAsia="黑体" w:cs="仿宋_GB2312"/>
          <w:kern w:val="0"/>
          <w:szCs w:val="32"/>
        </w:rPr>
        <w:t>第四十五条</w:t>
      </w:r>
      <w:r>
        <w:rPr>
          <w:rFonts w:hint="eastAsia" w:ascii="仿宋_GB2312" w:hAnsi="仿宋_GB2312" w:eastAsia="仿宋_GB2312" w:cs="仿宋_GB2312"/>
          <w:b/>
          <w:bCs/>
          <w:szCs w:val="32"/>
        </w:rPr>
        <w:t xml:space="preserve"> </w:t>
      </w:r>
      <w:r>
        <w:rPr>
          <w:rFonts w:hint="eastAsia" w:ascii="仿宋_GB2312" w:hAnsi="仿宋_GB2312" w:eastAsia="仿宋_GB2312" w:cs="仿宋_GB2312"/>
          <w:szCs w:val="32"/>
        </w:rPr>
        <w:t xml:space="preserve"> 乙方在中止、解除、终止工伤保险辅助器具配置服务协议期间，应在其执业场所显著位置进行公告，并向参保人员解释说明。乙方未公告或解释说明，导致工伤辅助器具配置费用不能纳入工伤保险基金支付范围的，相关责任和后果由乙方承担。</w:t>
      </w:r>
    </w:p>
    <w:p w14:paraId="2C7F1EB4">
      <w:pPr>
        <w:autoSpaceDE w:val="0"/>
        <w:autoSpaceDN w:val="0"/>
        <w:adjustRightInd w:val="0"/>
        <w:ind w:firstLine="640" w:firstLineChars="200"/>
        <w:contextualSpacing/>
        <w:rPr>
          <w:rFonts w:hint="eastAsia" w:ascii="仿宋_GB2312" w:hAnsi="仿宋_GB2312" w:eastAsia="仿宋_GB2312" w:cs="仿宋_GB2312"/>
          <w:szCs w:val="32"/>
        </w:rPr>
      </w:pPr>
      <w:r>
        <w:rPr>
          <w:rFonts w:hint="eastAsia" w:ascii="黑体" w:hAnsi="黑体" w:eastAsia="黑体" w:cs="仿宋_GB2312"/>
          <w:kern w:val="0"/>
          <w:szCs w:val="32"/>
        </w:rPr>
        <w:t>第四十六条</w:t>
      </w:r>
      <w:r>
        <w:rPr>
          <w:rFonts w:hint="eastAsia" w:ascii="黑体" w:hAnsi="黑体" w:eastAsia="黑体" w:cs="黑体"/>
          <w:b/>
          <w:bCs/>
          <w:spacing w:val="-1"/>
          <w:szCs w:val="32"/>
        </w:rPr>
        <w:t xml:space="preserve">  </w:t>
      </w:r>
      <w:r>
        <w:rPr>
          <w:rFonts w:hint="eastAsia" w:ascii="仿宋_GB2312" w:hAnsi="仿宋_GB2312" w:eastAsia="仿宋_GB2312" w:cs="仿宋_GB2312"/>
          <w:szCs w:val="32"/>
        </w:rPr>
        <w:t>审计、公安、检察院、法院、纪检、卫生健康、市场监管</w:t>
      </w:r>
      <w:r>
        <w:rPr>
          <w:rFonts w:ascii="仿宋_GB2312" w:hAnsi="仿宋_GB2312" w:eastAsia="仿宋_GB2312" w:cs="仿宋_GB2312"/>
          <w:szCs w:val="32"/>
        </w:rPr>
        <w:t>、医疗保障</w:t>
      </w:r>
      <w:r>
        <w:rPr>
          <w:rFonts w:hint="eastAsia" w:ascii="仿宋_GB2312" w:hAnsi="仿宋_GB2312" w:eastAsia="仿宋_GB2312" w:cs="仿宋_GB2312"/>
          <w:szCs w:val="32"/>
        </w:rPr>
        <w:t>等部门发现乙方涉嫌存在重大违法违规行为、影响工伤保险基金安全等情形，甲方</w:t>
      </w:r>
      <w:r>
        <w:rPr>
          <w:rFonts w:ascii="仿宋_GB2312" w:hAnsi="仿宋_GB2312" w:eastAsia="仿宋_GB2312" w:cs="仿宋_GB2312"/>
          <w:szCs w:val="32"/>
        </w:rPr>
        <w:t>知晓</w:t>
      </w:r>
      <w:r>
        <w:rPr>
          <w:rFonts w:hint="eastAsia" w:ascii="仿宋_GB2312" w:hAnsi="仿宋_GB2312" w:eastAsia="仿宋_GB2312" w:cs="仿宋_GB2312"/>
          <w:szCs w:val="32"/>
        </w:rPr>
        <w:t>后，甲方可对乙方采取暂停工伤保险费用结算等措施。待有关部门调查完结后，查实乙方存在违反协议约定情形的，甲方依据服务协议作出相应处理。</w:t>
      </w:r>
    </w:p>
    <w:p w14:paraId="26D513DA">
      <w:pPr>
        <w:autoSpaceDE w:val="0"/>
        <w:autoSpaceDN w:val="0"/>
        <w:adjustRightInd w:val="0"/>
        <w:ind w:firstLine="640" w:firstLineChars="200"/>
        <w:contextualSpacing/>
        <w:rPr>
          <w:rFonts w:hint="eastAsia" w:ascii="仿宋_GB2312" w:eastAsia="仿宋_GB2312" w:cs="仿宋_GB2312"/>
          <w:kern w:val="0"/>
          <w:szCs w:val="32"/>
        </w:rPr>
      </w:pPr>
      <w:r>
        <w:rPr>
          <w:rFonts w:hint="eastAsia" w:ascii="黑体" w:hAnsi="黑体" w:eastAsia="黑体"/>
          <w:color w:val="000000"/>
          <w:szCs w:val="32"/>
        </w:rPr>
        <w:t>第</w:t>
      </w:r>
      <w:r>
        <w:rPr>
          <w:rFonts w:hint="eastAsia" w:ascii="黑体" w:hAnsi="黑体" w:eastAsia="黑体" w:cs="仿宋_GB2312"/>
          <w:kern w:val="0"/>
          <w:szCs w:val="32"/>
        </w:rPr>
        <w:t>四十七</w:t>
      </w:r>
      <w:r>
        <w:rPr>
          <w:rFonts w:hint="eastAsia" w:ascii="黑体" w:hAnsi="黑体" w:eastAsia="黑体"/>
          <w:color w:val="000000"/>
          <w:szCs w:val="32"/>
        </w:rPr>
        <w:t>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eastAsia="仿宋_GB2312" w:cs="仿宋_GB2312"/>
          <w:kern w:val="0"/>
          <w:szCs w:val="32"/>
        </w:rPr>
        <w:t>乙方未按协议约定提供服务，</w:t>
      </w:r>
      <w:r>
        <w:rPr>
          <w:rFonts w:ascii="Times New Roman" w:hAnsi="Times New Roman" w:eastAsia="仿宋_GB2312"/>
          <w:kern w:val="0"/>
          <w:szCs w:val="32"/>
          <w:lang w:bidi="ar"/>
        </w:rPr>
        <w:t>发生严重违规行为</w:t>
      </w:r>
      <w:r>
        <w:rPr>
          <w:rFonts w:hint="eastAsia" w:ascii="Times New Roman" w:hAnsi="Times New Roman" w:eastAsia="仿宋_GB2312"/>
          <w:kern w:val="0"/>
          <w:szCs w:val="32"/>
          <w:lang w:bidi="ar"/>
        </w:rPr>
        <w:t>、</w:t>
      </w:r>
      <w:r>
        <w:rPr>
          <w:rFonts w:hint="eastAsia" w:ascii="仿宋_GB2312" w:eastAsia="仿宋_GB2312" w:cs="仿宋_GB2312"/>
          <w:kern w:val="0"/>
          <w:szCs w:val="32"/>
        </w:rPr>
        <w:t>造成工伤保险基金重大损失或带来恶劣社会影响的，人力资源社会保障部门按社会保险领域严重失信人名单管理</w:t>
      </w:r>
      <w:r>
        <w:rPr>
          <w:rFonts w:ascii="仿宋_GB2312" w:eastAsia="仿宋_GB2312" w:cs="仿宋_GB2312"/>
          <w:kern w:val="0"/>
          <w:szCs w:val="32"/>
        </w:rPr>
        <w:t>相关</w:t>
      </w:r>
      <w:r>
        <w:rPr>
          <w:rFonts w:hint="eastAsia" w:ascii="仿宋_GB2312" w:eastAsia="仿宋_GB2312" w:cs="仿宋_GB2312"/>
          <w:kern w:val="0"/>
          <w:szCs w:val="32"/>
        </w:rPr>
        <w:t>规定将其列入社会保险严重失信人名单进行管理，由相关部门按规定实施联合惩戒。</w:t>
      </w:r>
      <w:r>
        <w:rPr>
          <w:rFonts w:ascii="Times New Roman" w:hAnsi="Times New Roman" w:eastAsia="仿宋_GB2312"/>
          <w:kern w:val="0"/>
          <w:szCs w:val="32"/>
          <w:lang w:bidi="ar"/>
        </w:rPr>
        <w:t>严重违规行为包括但不限于：提供劣质辅助器具、长期质价不符、串通套取基金</w:t>
      </w:r>
      <w:r>
        <w:rPr>
          <w:rFonts w:hint="eastAsia" w:ascii="Times New Roman" w:hAnsi="Times New Roman" w:eastAsia="仿宋_GB2312"/>
          <w:kern w:val="0"/>
          <w:szCs w:val="32"/>
          <w:lang w:bidi="ar"/>
        </w:rPr>
        <w:t>、虚假配置</w:t>
      </w:r>
      <w:r>
        <w:rPr>
          <w:rFonts w:ascii="Times New Roman" w:hAnsi="Times New Roman" w:eastAsia="仿宋_GB2312"/>
          <w:kern w:val="0"/>
          <w:szCs w:val="32"/>
          <w:lang w:bidi="ar"/>
        </w:rPr>
        <w:t>等损害工伤</w:t>
      </w:r>
      <w:r>
        <w:rPr>
          <w:rFonts w:hint="eastAsia" w:ascii="Times New Roman" w:hAnsi="Times New Roman" w:eastAsia="仿宋_GB2312"/>
          <w:kern w:val="0"/>
          <w:szCs w:val="32"/>
          <w:lang w:bidi="ar"/>
        </w:rPr>
        <w:t>保险基金</w:t>
      </w:r>
      <w:r>
        <w:rPr>
          <w:rFonts w:ascii="Times New Roman" w:hAnsi="Times New Roman" w:eastAsia="仿宋_GB2312"/>
          <w:kern w:val="0"/>
          <w:szCs w:val="32"/>
          <w:lang w:bidi="ar"/>
        </w:rPr>
        <w:t>的行为。</w:t>
      </w:r>
    </w:p>
    <w:p w14:paraId="13323F1F">
      <w:pPr>
        <w:autoSpaceDE w:val="0"/>
        <w:autoSpaceDN w:val="0"/>
        <w:adjustRightInd w:val="0"/>
        <w:ind w:firstLine="640" w:firstLineChars="200"/>
        <w:contextualSpacing/>
        <w:rPr>
          <w:rFonts w:ascii="仿宋_GB2312" w:eastAsia="仿宋_GB2312" w:cs="仿宋_GB2312"/>
          <w:kern w:val="0"/>
          <w:szCs w:val="32"/>
        </w:rPr>
      </w:pPr>
      <w:r>
        <w:rPr>
          <w:rFonts w:hint="eastAsia" w:ascii="黑体" w:hAnsi="黑体" w:eastAsia="黑体" w:cs="仿宋_GB2312"/>
          <w:kern w:val="0"/>
          <w:szCs w:val="32"/>
        </w:rPr>
        <w:t>第四十八条</w:t>
      </w:r>
      <w:r>
        <w:rPr>
          <w:rFonts w:hint="eastAsia" w:ascii="仿宋_GB2312" w:eastAsia="仿宋_GB2312" w:cs="仿宋_GB2312"/>
          <w:b/>
          <w:kern w:val="0"/>
          <w:szCs w:val="32"/>
        </w:rPr>
        <w:t xml:space="preserve"> </w:t>
      </w:r>
      <w:r>
        <w:rPr>
          <w:rFonts w:ascii="仿宋_GB2312" w:eastAsia="仿宋_GB2312" w:cs="仿宋_GB2312"/>
          <w:b/>
          <w:kern w:val="0"/>
          <w:szCs w:val="32"/>
        </w:rPr>
        <w:t xml:space="preserve"> </w:t>
      </w:r>
      <w:r>
        <w:rPr>
          <w:rFonts w:hint="eastAsia" w:ascii="仿宋_GB2312" w:eastAsia="仿宋_GB2312" w:cs="仿宋_GB2312"/>
          <w:kern w:val="0"/>
          <w:szCs w:val="32"/>
        </w:rPr>
        <w:t>乙方违反本协议约定，依法应当给予行政处罚的，甲方应移交同级人力资源社会保障行政部门处理。乙方涉嫌欺诈骗保等违法犯罪的，甲方应当移交</w:t>
      </w:r>
      <w:r>
        <w:rPr>
          <w:rFonts w:ascii="仿宋_GB2312" w:eastAsia="仿宋_GB2312" w:cs="仿宋_GB2312"/>
          <w:kern w:val="0"/>
          <w:szCs w:val="32"/>
        </w:rPr>
        <w:t>有关部门依法处理。</w:t>
      </w:r>
    </w:p>
    <w:p w14:paraId="31DD411F">
      <w:pPr>
        <w:tabs>
          <w:tab w:val="left" w:pos="0"/>
        </w:tabs>
        <w:ind w:firstLine="640" w:firstLineChars="200"/>
        <w:contextualSpacing/>
        <w:rPr>
          <w:rFonts w:hint="eastAsia" w:ascii="黑体" w:hAnsi="黑体" w:eastAsia="黑体" w:cs="仿宋_GB2312"/>
          <w:kern w:val="0"/>
          <w:szCs w:val="32"/>
        </w:rPr>
      </w:pPr>
      <w:r>
        <w:rPr>
          <w:rFonts w:hint="eastAsia" w:ascii="黑体" w:hAnsi="黑体" w:eastAsia="黑体" w:cs="仿宋_GB2312"/>
          <w:kern w:val="0"/>
          <w:szCs w:val="32"/>
        </w:rPr>
        <w:t xml:space="preserve">第四十九条  </w:t>
      </w:r>
      <w:r>
        <w:rPr>
          <w:rFonts w:hint="eastAsia" w:ascii="仿宋_GB2312" w:eastAsia="仿宋_GB2312" w:cs="仿宋_GB2312"/>
          <w:kern w:val="0"/>
          <w:szCs w:val="32"/>
        </w:rPr>
        <w:t>实行工伤保险</w:t>
      </w:r>
      <w:r>
        <w:rPr>
          <w:rFonts w:hint="eastAsia" w:ascii="仿宋_GB2312" w:hAnsi="仿宋_GB2312" w:eastAsia="仿宋_GB2312" w:cs="仿宋_GB2312"/>
          <w:szCs w:val="32"/>
        </w:rPr>
        <w:t>辅助器具配置</w:t>
      </w:r>
      <w:r>
        <w:rPr>
          <w:rFonts w:hint="eastAsia" w:ascii="仿宋_GB2312" w:eastAsia="仿宋_GB2312" w:cs="仿宋_GB2312"/>
          <w:kern w:val="0"/>
          <w:szCs w:val="32"/>
        </w:rPr>
        <w:t>协议机构违法违规处理结果互认联动机制。乙方因违法违规被其他地区人力资源社会保障部门作出中止、解除服务协议处理决定的，甲方联动执行中止、解除服务协议处理决定。</w:t>
      </w:r>
    </w:p>
    <w:p w14:paraId="4755ECF1">
      <w:pPr>
        <w:tabs>
          <w:tab w:val="left" w:pos="0"/>
        </w:tabs>
        <w:ind w:firstLine="640" w:firstLineChars="200"/>
        <w:contextualSpacing/>
        <w:rPr>
          <w:rFonts w:hint="eastAsia" w:ascii="黑体" w:hAnsi="黑体" w:eastAsia="黑体" w:cs="仿宋_GB2312"/>
          <w:kern w:val="0"/>
          <w:szCs w:val="32"/>
        </w:rPr>
      </w:pPr>
      <w:r>
        <w:rPr>
          <w:rFonts w:hint="eastAsia" w:ascii="黑体" w:hAnsi="黑体" w:eastAsia="黑体" w:cs="仿宋_GB2312"/>
          <w:kern w:val="0"/>
          <w:szCs w:val="32"/>
        </w:rPr>
        <w:t xml:space="preserve">第五十条  </w:t>
      </w:r>
      <w:r>
        <w:rPr>
          <w:rFonts w:hint="eastAsia" w:ascii="仿宋_GB2312" w:eastAsia="仿宋_GB2312" w:cs="仿宋_GB2312"/>
          <w:kern w:val="0"/>
          <w:szCs w:val="32"/>
        </w:rPr>
        <w:t>甲方和乙方应依法为参保单位和工伤职工就医的信息保密，不得以任何形式泄露。甲方和乙方造成用人单位和工伤职工</w:t>
      </w:r>
      <w:r>
        <w:rPr>
          <w:rFonts w:hint="eastAsia" w:ascii="仿宋_GB2312" w:hAnsi="仿宋_GB2312" w:eastAsia="仿宋_GB2312" w:cs="仿宋_GB2312"/>
          <w:szCs w:val="32"/>
        </w:rPr>
        <w:t>辅助器具配置</w:t>
      </w:r>
      <w:r>
        <w:rPr>
          <w:rFonts w:hint="eastAsia" w:ascii="仿宋_GB2312" w:eastAsia="仿宋_GB2312" w:cs="仿宋_GB2312"/>
          <w:kern w:val="0"/>
          <w:szCs w:val="32"/>
        </w:rPr>
        <w:t>信息泄露的，按照《中华人民共和国社会保险法</w:t>
      </w:r>
      <w:r>
        <w:rPr>
          <w:rFonts w:hint="eastAsia" w:ascii="仿宋_GB2312" w:eastAsia="仿宋_GB2312" w:cs="仿宋_GB2312"/>
          <w:kern w:val="0"/>
          <w:szCs w:val="32"/>
        </w:rPr>
        <w:t>》《社会保险经办条例》等规定处理。</w:t>
      </w:r>
    </w:p>
    <w:p w14:paraId="09682857">
      <w:pPr>
        <w:tabs>
          <w:tab w:val="left" w:pos="0"/>
        </w:tabs>
        <w:contextualSpacing/>
        <w:jc w:val="center"/>
        <w:rPr>
          <w:rFonts w:ascii="黑体" w:hAnsi="黑体" w:eastAsia="黑体"/>
          <w:color w:val="000000"/>
        </w:rPr>
      </w:pPr>
      <w:r>
        <w:rPr>
          <w:rFonts w:hint="eastAsia" w:ascii="黑体" w:hAnsi="黑体" w:eastAsia="黑体"/>
          <w:color w:val="000000"/>
        </w:rPr>
        <w:t>第六章  附  则</w:t>
      </w:r>
    </w:p>
    <w:p w14:paraId="5149274B">
      <w:pPr>
        <w:autoSpaceDE w:val="0"/>
        <w:autoSpaceDN w:val="0"/>
        <w:adjustRightInd w:val="0"/>
        <w:ind w:firstLine="640" w:firstLineChars="200"/>
        <w:contextualSpacing/>
        <w:rPr>
          <w:rFonts w:ascii="仿宋_GB2312" w:eastAsia="仿宋_GB2312" w:cs="仿宋_GB2312"/>
          <w:kern w:val="0"/>
          <w:szCs w:val="32"/>
        </w:rPr>
      </w:pPr>
      <w:r>
        <w:rPr>
          <w:rFonts w:hint="eastAsia" w:ascii="黑体" w:hAnsi="黑体" w:eastAsia="黑体" w:cs="仿宋_GB2312"/>
          <w:kern w:val="0"/>
          <w:szCs w:val="32"/>
        </w:rPr>
        <w:t>第五十一条</w:t>
      </w:r>
      <w:r>
        <w:rPr>
          <w:rFonts w:hint="eastAsia" w:ascii="仿宋_GB2312" w:eastAsia="仿宋_GB2312" w:cs="仿宋_GB2312"/>
          <w:b/>
          <w:kern w:val="0"/>
          <w:szCs w:val="32"/>
        </w:rPr>
        <w:t xml:space="preserve"> </w:t>
      </w:r>
      <w:r>
        <w:rPr>
          <w:rFonts w:ascii="仿宋_GB2312" w:eastAsia="仿宋_GB2312" w:cs="仿宋_GB2312"/>
          <w:b/>
          <w:kern w:val="0"/>
          <w:szCs w:val="32"/>
        </w:rPr>
        <w:t xml:space="preserve"> </w:t>
      </w:r>
      <w:r>
        <w:rPr>
          <w:rFonts w:hint="eastAsia" w:ascii="仿宋_GB2312" w:eastAsia="仿宋_GB2312" w:cs="仿宋_GB2312"/>
          <w:kern w:val="0"/>
          <w:szCs w:val="32"/>
        </w:rPr>
        <w:t>本协议执行期间，国家和本省法律、法规及有关政策有调整的，</w:t>
      </w:r>
      <w:r>
        <w:rPr>
          <w:rFonts w:hint="eastAsia" w:ascii="仿宋_GB2312" w:hAnsi="仿宋" w:eastAsia="仿宋_GB2312"/>
          <w:color w:val="000000"/>
          <w:szCs w:val="32"/>
        </w:rPr>
        <w:t>从其规定。</w:t>
      </w:r>
      <w:r>
        <w:rPr>
          <w:rFonts w:hint="eastAsia" w:ascii="仿宋_GB2312" w:eastAsia="仿宋_GB2312" w:cs="仿宋_GB2312"/>
          <w:kern w:val="0"/>
          <w:szCs w:val="32"/>
        </w:rPr>
        <w:t>甲乙双方应按照新规定修改或补充本协议，如无法达成协议，双方可终止协议。</w:t>
      </w:r>
    </w:p>
    <w:p w14:paraId="6979E45A">
      <w:pPr>
        <w:autoSpaceDE w:val="0"/>
        <w:autoSpaceDN w:val="0"/>
        <w:adjustRightInd w:val="0"/>
        <w:ind w:firstLine="640" w:firstLineChars="200"/>
        <w:contextualSpacing/>
        <w:rPr>
          <w:rFonts w:hint="eastAsia" w:ascii="仿宋_GB2312" w:eastAsia="仿宋_GB2312" w:cs="仿宋_GB2312"/>
          <w:kern w:val="0"/>
          <w:szCs w:val="32"/>
        </w:rPr>
      </w:pPr>
      <w:r>
        <w:rPr>
          <w:rFonts w:hint="eastAsia" w:ascii="黑体" w:hAnsi="黑体" w:eastAsia="黑体" w:cs="仿宋_GB2312"/>
          <w:kern w:val="0"/>
          <w:szCs w:val="32"/>
        </w:rPr>
        <w:t>第五十二条</w:t>
      </w:r>
      <w:r>
        <w:rPr>
          <w:rFonts w:hint="eastAsia" w:ascii="仿宋_GB2312" w:eastAsia="仿宋_GB2312" w:cs="仿宋_GB2312"/>
          <w:szCs w:val="32"/>
        </w:rPr>
        <w:t xml:space="preserve"> </w:t>
      </w:r>
      <w:r>
        <w:rPr>
          <w:rFonts w:ascii="仿宋_GB2312" w:eastAsia="仿宋_GB2312" w:cs="仿宋_GB2312"/>
          <w:szCs w:val="32"/>
        </w:rPr>
        <w:t xml:space="preserve"> </w:t>
      </w:r>
      <w:r>
        <w:rPr>
          <w:rFonts w:hint="eastAsia" w:ascii="仿宋_GB2312" w:eastAsia="仿宋_GB2312" w:cs="仿宋_GB2312"/>
          <w:szCs w:val="32"/>
        </w:rPr>
        <w:t>本协议经甲乙双方盖章签字后生效。</w:t>
      </w:r>
      <w:r>
        <w:rPr>
          <w:rFonts w:hint="eastAsia" w:ascii="仿宋_GB2312" w:hAnsi="仿宋" w:eastAsia="仿宋_GB2312"/>
          <w:color w:val="000000"/>
          <w:szCs w:val="32"/>
        </w:rPr>
        <w:t>本协议有效期自</w:t>
      </w:r>
      <w:r>
        <w:rPr>
          <w:rFonts w:hint="eastAsia" w:ascii="仿宋_GB2312" w:hAnsi="仿宋" w:eastAsia="仿宋_GB2312"/>
          <w:color w:val="000000"/>
          <w:szCs w:val="32"/>
          <w:u w:val="single"/>
        </w:rPr>
        <w:t xml:space="preserve">   </w:t>
      </w:r>
      <w:r>
        <w:rPr>
          <w:rFonts w:hint="eastAsia" w:ascii="仿宋_GB2312" w:hAnsi="仿宋" w:eastAsia="仿宋_GB2312"/>
          <w:color w:val="000000"/>
          <w:szCs w:val="32"/>
        </w:rPr>
        <w:t>年7月1日起至</w:t>
      </w:r>
      <w:r>
        <w:rPr>
          <w:rFonts w:hint="eastAsia" w:ascii="仿宋_GB2312" w:hAnsi="仿宋" w:eastAsia="仿宋_GB2312"/>
          <w:color w:val="000000"/>
          <w:szCs w:val="32"/>
          <w:u w:val="single"/>
        </w:rPr>
        <w:t xml:space="preserve">   </w:t>
      </w:r>
      <w:r>
        <w:rPr>
          <w:rFonts w:hint="eastAsia" w:ascii="仿宋_GB2312" w:hAnsi="仿宋" w:eastAsia="仿宋_GB2312"/>
          <w:color w:val="000000"/>
          <w:szCs w:val="32"/>
        </w:rPr>
        <w:t>年6月30日止。乙方愿意续签服务协议的，应当在协议期满前3个月内，向甲方提出续签服务协议申请，甲方根据服务协议履行情况和协议期满考核情况等决定是否续签。协议期满考核结果合格的，双方在协议期满前30天内，续签服务协议；协议期满考核结果不合格的，不再续签。未予续签的，服务协议到期后自动终止。</w:t>
      </w:r>
    </w:p>
    <w:p w14:paraId="23DFB0B6">
      <w:pPr>
        <w:autoSpaceDE w:val="0"/>
        <w:autoSpaceDN w:val="0"/>
        <w:adjustRightInd w:val="0"/>
        <w:ind w:firstLine="640" w:firstLineChars="200"/>
        <w:contextualSpacing/>
        <w:rPr>
          <w:rFonts w:ascii="仿宋_GB2312" w:eastAsia="仿宋_GB2312" w:cs="仿宋_GB2312"/>
          <w:kern w:val="0"/>
          <w:szCs w:val="32"/>
        </w:rPr>
      </w:pPr>
      <w:r>
        <w:rPr>
          <w:rFonts w:hint="eastAsia" w:ascii="黑体" w:hAnsi="黑体" w:eastAsia="黑体" w:cs="仿宋_GB2312"/>
          <w:kern w:val="0"/>
          <w:szCs w:val="32"/>
        </w:rPr>
        <w:t>第五十三条</w:t>
      </w:r>
      <w:r>
        <w:rPr>
          <w:rFonts w:hint="eastAsia" w:ascii="仿宋_GB2312" w:eastAsia="仿宋_GB2312" w:cs="仿宋_GB2312"/>
          <w:kern w:val="0"/>
          <w:szCs w:val="32"/>
        </w:rPr>
        <w:t xml:space="preserve"> </w:t>
      </w:r>
      <w:r>
        <w:rPr>
          <w:rFonts w:ascii="仿宋_GB2312" w:eastAsia="仿宋_GB2312" w:cs="仿宋_GB2312"/>
          <w:kern w:val="0"/>
          <w:szCs w:val="32"/>
        </w:rPr>
        <w:t xml:space="preserve"> </w:t>
      </w:r>
      <w:r>
        <w:rPr>
          <w:rFonts w:hint="eastAsia" w:ascii="仿宋_GB2312" w:hAnsi="仿宋" w:eastAsia="仿宋_GB2312"/>
          <w:color w:val="000000"/>
          <w:szCs w:val="32"/>
        </w:rPr>
        <w:t>因</w:t>
      </w:r>
      <w:r>
        <w:rPr>
          <w:rFonts w:ascii="仿宋_GB2312" w:hAnsi="仿宋" w:eastAsia="仿宋_GB2312"/>
          <w:color w:val="000000"/>
          <w:szCs w:val="32"/>
        </w:rPr>
        <w:t>双方协商一致、</w:t>
      </w:r>
      <w:r>
        <w:rPr>
          <w:rFonts w:hint="eastAsia" w:ascii="仿宋_GB2312" w:hAnsi="仿宋" w:eastAsia="仿宋_GB2312"/>
          <w:color w:val="000000"/>
          <w:szCs w:val="32"/>
        </w:rPr>
        <w:t>乙方</w:t>
      </w:r>
      <w:r>
        <w:rPr>
          <w:rFonts w:ascii="仿宋_GB2312" w:hAnsi="仿宋" w:eastAsia="仿宋_GB2312"/>
          <w:color w:val="000000"/>
          <w:szCs w:val="32"/>
        </w:rPr>
        <w:t>停业或歇业、</w:t>
      </w:r>
      <w:r>
        <w:rPr>
          <w:rFonts w:hint="eastAsia" w:ascii="仿宋_GB2312" w:hAnsi="仿宋" w:eastAsia="仿宋_GB2312"/>
          <w:color w:val="000000"/>
          <w:szCs w:val="32"/>
        </w:rPr>
        <w:t>不可抗力</w:t>
      </w:r>
      <w:r>
        <w:rPr>
          <w:rFonts w:ascii="仿宋_GB2312" w:hAnsi="仿宋" w:eastAsia="仿宋_GB2312"/>
          <w:color w:val="000000"/>
          <w:szCs w:val="32"/>
        </w:rPr>
        <w:t>致协议不能正常履行</w:t>
      </w:r>
      <w:r>
        <w:rPr>
          <w:rFonts w:hint="eastAsia" w:ascii="仿宋_GB2312" w:hAnsi="仿宋" w:eastAsia="仿宋_GB2312"/>
          <w:color w:val="000000"/>
          <w:szCs w:val="32"/>
        </w:rPr>
        <w:t>等</w:t>
      </w:r>
      <w:r>
        <w:rPr>
          <w:rFonts w:ascii="仿宋_GB2312" w:hAnsi="仿宋" w:eastAsia="仿宋_GB2312"/>
          <w:color w:val="000000"/>
          <w:szCs w:val="32"/>
        </w:rPr>
        <w:t>情况，</w:t>
      </w:r>
      <w:r>
        <w:rPr>
          <w:rFonts w:hint="eastAsia" w:ascii="仿宋_GB2312" w:hAnsi="仿宋" w:eastAsia="仿宋_GB2312"/>
          <w:color w:val="000000"/>
          <w:szCs w:val="32"/>
        </w:rPr>
        <w:t>本协议</w:t>
      </w:r>
      <w:r>
        <w:rPr>
          <w:rFonts w:ascii="仿宋_GB2312" w:hAnsi="仿宋" w:eastAsia="仿宋_GB2312"/>
          <w:color w:val="000000"/>
          <w:szCs w:val="32"/>
        </w:rPr>
        <w:t>解除</w:t>
      </w:r>
      <w:r>
        <w:rPr>
          <w:rFonts w:hint="eastAsia" w:ascii="仿宋_GB2312" w:hAnsi="仿宋" w:eastAsia="仿宋_GB2312"/>
          <w:color w:val="000000"/>
          <w:szCs w:val="32"/>
        </w:rPr>
        <w:t>的</w:t>
      </w:r>
      <w:r>
        <w:rPr>
          <w:rFonts w:ascii="仿宋_GB2312" w:hAnsi="仿宋" w:eastAsia="仿宋_GB2312"/>
          <w:color w:val="000000"/>
          <w:szCs w:val="32"/>
        </w:rPr>
        <w:t>，</w:t>
      </w:r>
      <w:r>
        <w:rPr>
          <w:rFonts w:hint="eastAsia" w:ascii="仿宋_GB2312" w:hAnsi="仿宋" w:eastAsia="仿宋_GB2312"/>
          <w:color w:val="000000"/>
          <w:szCs w:val="32"/>
        </w:rPr>
        <w:t>甲方</w:t>
      </w:r>
      <w:r>
        <w:rPr>
          <w:rFonts w:ascii="仿宋_GB2312" w:hAnsi="仿宋" w:eastAsia="仿宋_GB2312"/>
          <w:color w:val="000000"/>
          <w:szCs w:val="32"/>
        </w:rPr>
        <w:t>应及时向社会公布。</w:t>
      </w:r>
      <w:r>
        <w:rPr>
          <w:rFonts w:hint="eastAsia" w:ascii="仿宋_GB2312" w:hAnsi="仿宋" w:eastAsia="仿宋_GB2312"/>
          <w:color w:val="000000"/>
          <w:szCs w:val="32"/>
        </w:rPr>
        <w:t>甲乙双方因</w:t>
      </w:r>
      <w:r>
        <w:rPr>
          <w:rFonts w:ascii="仿宋_GB2312" w:hAnsi="仿宋" w:eastAsia="仿宋_GB2312"/>
          <w:color w:val="000000"/>
          <w:szCs w:val="32"/>
        </w:rPr>
        <w:t>单方面原因需</w:t>
      </w:r>
      <w:r>
        <w:rPr>
          <w:rFonts w:hint="eastAsia" w:ascii="仿宋_GB2312" w:hAnsi="仿宋" w:eastAsia="仿宋_GB2312"/>
          <w:color w:val="000000"/>
          <w:szCs w:val="32"/>
        </w:rPr>
        <w:t>提前</w:t>
      </w:r>
      <w:r>
        <w:rPr>
          <w:rFonts w:ascii="仿宋_GB2312" w:hAnsi="仿宋" w:eastAsia="仿宋_GB2312"/>
          <w:color w:val="000000"/>
          <w:szCs w:val="32"/>
        </w:rPr>
        <w:t>解除或</w:t>
      </w:r>
      <w:r>
        <w:rPr>
          <w:rFonts w:hint="eastAsia" w:ascii="仿宋_GB2312" w:hAnsi="仿宋" w:eastAsia="仿宋_GB2312"/>
          <w:color w:val="000000"/>
          <w:szCs w:val="32"/>
        </w:rPr>
        <w:t>终止协议的，必须提前三十日书面通知对方，</w:t>
      </w:r>
      <w:r>
        <w:rPr>
          <w:rFonts w:ascii="仿宋_GB2312" w:hAnsi="仿宋" w:eastAsia="仿宋_GB2312"/>
          <w:color w:val="000000"/>
          <w:szCs w:val="32"/>
        </w:rPr>
        <w:t>经对方同意后方可解除本协议，</w:t>
      </w:r>
      <w:r>
        <w:rPr>
          <w:rFonts w:hint="eastAsia" w:ascii="仿宋_GB2312" w:hAnsi="仿宋" w:eastAsia="仿宋_GB2312"/>
          <w:color w:val="000000"/>
          <w:szCs w:val="32"/>
        </w:rPr>
        <w:t>在此期间，双方应继续履行此协议，共同做好善后工作，保障工伤职工正常配置或</w:t>
      </w:r>
      <w:r>
        <w:rPr>
          <w:rFonts w:ascii="仿宋_GB2312" w:hAnsi="仿宋" w:eastAsia="仿宋_GB2312"/>
          <w:color w:val="000000"/>
          <w:szCs w:val="32"/>
        </w:rPr>
        <w:t>更换辅助器具</w:t>
      </w:r>
      <w:r>
        <w:rPr>
          <w:rFonts w:hint="eastAsia" w:ascii="仿宋_GB2312" w:hAnsi="仿宋" w:eastAsia="仿宋_GB2312"/>
          <w:color w:val="000000"/>
          <w:szCs w:val="32"/>
        </w:rPr>
        <w:t>。</w:t>
      </w:r>
    </w:p>
    <w:p w14:paraId="4CCEAB16">
      <w:pPr>
        <w:autoSpaceDE w:val="0"/>
        <w:autoSpaceDN w:val="0"/>
        <w:adjustRightInd w:val="0"/>
        <w:ind w:firstLine="640" w:firstLineChars="200"/>
        <w:contextualSpacing/>
        <w:rPr>
          <w:rFonts w:hint="eastAsia" w:ascii="仿宋_GB2312" w:hAnsi="仿宋" w:eastAsia="仿宋_GB2312"/>
          <w:color w:val="000000"/>
          <w:szCs w:val="32"/>
        </w:rPr>
      </w:pPr>
      <w:r>
        <w:rPr>
          <w:rFonts w:hint="eastAsia" w:ascii="黑体" w:hAnsi="黑体" w:eastAsia="黑体"/>
          <w:color w:val="000000"/>
          <w:szCs w:val="32"/>
        </w:rPr>
        <w:t xml:space="preserve">第五十四条  </w:t>
      </w:r>
      <w:r>
        <w:rPr>
          <w:rFonts w:hint="eastAsia" w:ascii="仿宋_GB2312" w:hAnsi="仿宋" w:eastAsia="仿宋_GB2312"/>
          <w:color w:val="000000"/>
          <w:szCs w:val="32"/>
        </w:rPr>
        <w:t>乙方有下列情形之一的，终止服务协议。</w:t>
      </w:r>
    </w:p>
    <w:p w14:paraId="39009AF3">
      <w:pPr>
        <w:autoSpaceDE w:val="0"/>
        <w:autoSpaceDN w:val="0"/>
        <w:adjustRightInd w:val="0"/>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（一）因不可抗力致使协议不能正常履行的；</w:t>
      </w:r>
    </w:p>
    <w:p w14:paraId="4AE72E47">
      <w:pPr>
        <w:autoSpaceDE w:val="0"/>
        <w:autoSpaceDN w:val="0"/>
        <w:adjustRightInd w:val="0"/>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（二）事业单位解散、被撤销、被吊销法人证书，企业被人民法院宣告破产、被吊销营业执照、责令关闭、撤销以及决定提前解散的；</w:t>
      </w:r>
    </w:p>
    <w:p w14:paraId="4C3A875B">
      <w:pPr>
        <w:autoSpaceDE w:val="0"/>
        <w:autoSpaceDN w:val="0"/>
        <w:adjustRightInd w:val="0"/>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（三）行业主管部门颁发的《医疗机构执业许可证》</w:t>
      </w:r>
      <w:r>
        <w:rPr>
          <w:rFonts w:ascii="仿宋_GB2312" w:hAnsi="仿宋" w:eastAsia="仿宋_GB2312"/>
          <w:color w:val="000000"/>
          <w:szCs w:val="32"/>
        </w:rPr>
        <w:t>或《营业执照》</w:t>
      </w:r>
      <w:r>
        <w:rPr>
          <w:rFonts w:hint="eastAsia" w:ascii="仿宋_GB2312" w:hAnsi="仿宋" w:eastAsia="仿宋_GB2312"/>
          <w:color w:val="000000"/>
          <w:szCs w:val="32"/>
        </w:rPr>
        <w:t>失效、被吊销、注销的；</w:t>
      </w:r>
    </w:p>
    <w:p w14:paraId="3F571754">
      <w:pPr>
        <w:autoSpaceDE w:val="0"/>
        <w:autoSpaceDN w:val="0"/>
        <w:adjustRightInd w:val="0"/>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（四）乙方提出解除服务协议且甲方同意的；</w:t>
      </w:r>
    </w:p>
    <w:p w14:paraId="31DA2DCF">
      <w:pPr>
        <w:autoSpaceDE w:val="0"/>
        <w:autoSpaceDN w:val="0"/>
        <w:adjustRightInd w:val="0"/>
        <w:ind w:firstLine="640" w:firstLineChars="200"/>
        <w:contextualSpacing/>
        <w:rPr>
          <w:rFonts w:hint="eastAsia" w:ascii="仿宋_GB2312" w:hAnsi="仿宋" w:eastAsia="仿宋_GB2312"/>
          <w:color w:val="000000"/>
          <w:szCs w:val="32"/>
        </w:rPr>
      </w:pPr>
      <w:r>
        <w:rPr>
          <w:rFonts w:hint="eastAsia" w:ascii="仿宋_GB2312" w:hAnsi="仿宋" w:eastAsia="仿宋_GB2312"/>
          <w:color w:val="000000"/>
          <w:szCs w:val="32"/>
        </w:rPr>
        <w:t>（五）根据服务协议约定应当终止服务协议的；</w:t>
      </w:r>
    </w:p>
    <w:p w14:paraId="41827143">
      <w:pPr>
        <w:autoSpaceDE w:val="0"/>
        <w:autoSpaceDN w:val="0"/>
        <w:adjustRightInd w:val="0"/>
        <w:ind w:firstLine="640" w:firstLineChars="200"/>
        <w:contextualSpacing/>
        <w:rPr>
          <w:rFonts w:ascii="黑体" w:hAnsi="黑体" w:eastAsia="黑体"/>
          <w:color w:val="000000"/>
          <w:szCs w:val="32"/>
        </w:rPr>
      </w:pPr>
      <w:r>
        <w:rPr>
          <w:rFonts w:hint="eastAsia" w:ascii="仿宋_GB2312" w:hAnsi="仿宋" w:eastAsia="仿宋_GB2312"/>
          <w:color w:val="000000"/>
          <w:szCs w:val="32"/>
        </w:rPr>
        <w:t>（六）法律法规和规章规定的其他应终止的情形。</w:t>
      </w:r>
    </w:p>
    <w:p w14:paraId="25CF8BE5">
      <w:pPr>
        <w:autoSpaceDE w:val="0"/>
        <w:autoSpaceDN w:val="0"/>
        <w:adjustRightInd w:val="0"/>
        <w:ind w:firstLine="640" w:firstLineChars="200"/>
        <w:contextualSpacing/>
        <w:rPr>
          <w:rFonts w:hint="eastAsia" w:ascii="仿宋_GB2312" w:hAnsi="仿宋" w:eastAsia="仿宋_GB2312"/>
          <w:color w:val="000000"/>
          <w:szCs w:val="32"/>
        </w:rPr>
      </w:pPr>
      <w:r>
        <w:rPr>
          <w:rFonts w:hint="eastAsia" w:ascii="黑体" w:hAnsi="黑体" w:eastAsia="黑体" w:cs="仿宋_GB2312"/>
          <w:kern w:val="0"/>
          <w:szCs w:val="32"/>
        </w:rPr>
        <w:t>第</w:t>
      </w:r>
      <w:r>
        <w:rPr>
          <w:rFonts w:hint="eastAsia" w:ascii="黑体" w:hAnsi="黑体" w:eastAsia="黑体"/>
          <w:color w:val="000000"/>
          <w:szCs w:val="32"/>
        </w:rPr>
        <w:t>五十五</w:t>
      </w:r>
      <w:r>
        <w:rPr>
          <w:rFonts w:hint="eastAsia" w:ascii="黑体" w:hAnsi="黑体" w:eastAsia="黑体" w:cs="仿宋_GB2312"/>
          <w:kern w:val="0"/>
          <w:szCs w:val="32"/>
        </w:rPr>
        <w:t>条</w:t>
      </w:r>
      <w:r>
        <w:rPr>
          <w:rFonts w:hint="eastAsia" w:ascii="仿宋_GB2312" w:hAnsi="仿宋" w:eastAsia="仿宋_GB2312"/>
          <w:b/>
          <w:color w:val="000000"/>
          <w:szCs w:val="32"/>
        </w:rPr>
        <w:t xml:space="preserve"> </w:t>
      </w:r>
      <w:r>
        <w:rPr>
          <w:rFonts w:ascii="仿宋_GB2312" w:hAnsi="仿宋" w:eastAsia="仿宋_GB2312"/>
          <w:b/>
          <w:color w:val="000000"/>
          <w:szCs w:val="32"/>
        </w:rPr>
        <w:t xml:space="preserve"> </w:t>
      </w:r>
      <w:r>
        <w:rPr>
          <w:rFonts w:hint="eastAsia" w:ascii="仿宋_GB2312" w:eastAsia="仿宋_GB2312" w:cs="仿宋_GB2312"/>
          <w:kern w:val="0"/>
          <w:szCs w:val="32"/>
        </w:rPr>
        <w:t>本协议执行过程中如发生争议，</w:t>
      </w:r>
      <w:r>
        <w:rPr>
          <w:rFonts w:hint="eastAsia" w:ascii="仿宋_GB2312" w:hAnsi="仿宋" w:eastAsia="仿宋_GB2312"/>
          <w:color w:val="000000"/>
          <w:szCs w:val="32"/>
        </w:rPr>
        <w:t>双方通过协商方式解决。无法协商解决的，可依法申请行政复议或提起行政诉讼。</w:t>
      </w:r>
    </w:p>
    <w:p w14:paraId="47A6FEA8">
      <w:pPr>
        <w:autoSpaceDE w:val="0"/>
        <w:autoSpaceDN w:val="0"/>
        <w:adjustRightInd w:val="0"/>
        <w:ind w:firstLine="640" w:firstLineChars="200"/>
        <w:contextualSpacing/>
        <w:rPr>
          <w:rFonts w:ascii="仿宋_GB2312" w:eastAsia="仿宋_GB2312" w:cs="仿宋_GB2312"/>
          <w:kern w:val="0"/>
          <w:szCs w:val="32"/>
        </w:rPr>
      </w:pPr>
      <w:r>
        <w:rPr>
          <w:rFonts w:hint="eastAsia" w:ascii="黑体" w:hAnsi="黑体" w:eastAsia="黑体" w:cs="仿宋_GB2312"/>
          <w:kern w:val="0"/>
          <w:szCs w:val="32"/>
        </w:rPr>
        <w:t>第</w:t>
      </w:r>
      <w:r>
        <w:rPr>
          <w:rFonts w:hint="eastAsia" w:ascii="黑体" w:hAnsi="黑体" w:eastAsia="黑体"/>
          <w:color w:val="000000"/>
          <w:szCs w:val="32"/>
        </w:rPr>
        <w:t>五十六</w:t>
      </w:r>
      <w:r>
        <w:rPr>
          <w:rFonts w:hint="eastAsia" w:ascii="黑体" w:hAnsi="黑体" w:eastAsia="黑体" w:cs="仿宋_GB2312"/>
          <w:kern w:val="0"/>
          <w:szCs w:val="32"/>
        </w:rPr>
        <w:t>条</w:t>
      </w:r>
      <w:r>
        <w:rPr>
          <w:rFonts w:hint="eastAsia" w:ascii="仿宋_GB2312" w:eastAsia="仿宋_GB2312" w:cs="仿宋_GB2312"/>
          <w:b/>
          <w:kern w:val="0"/>
          <w:szCs w:val="32"/>
        </w:rPr>
        <w:t xml:space="preserve"> </w:t>
      </w:r>
      <w:r>
        <w:rPr>
          <w:rFonts w:ascii="仿宋_GB2312" w:eastAsia="仿宋_GB2312" w:cs="仿宋_GB2312"/>
          <w:b/>
          <w:kern w:val="0"/>
          <w:szCs w:val="32"/>
        </w:rPr>
        <w:t xml:space="preserve"> </w:t>
      </w:r>
      <w:r>
        <w:rPr>
          <w:rFonts w:hint="eastAsia" w:ascii="仿宋_GB2312" w:eastAsia="仿宋_GB2312" w:cs="仿宋_GB2312"/>
          <w:kern w:val="0"/>
          <w:szCs w:val="32"/>
        </w:rPr>
        <w:t>本协议未尽事宜，甲乙双方可以签订补充协议，甲乙双方已经确认的补充事宜，效力与本协议相同。</w:t>
      </w:r>
    </w:p>
    <w:p w14:paraId="55326ED0">
      <w:pPr>
        <w:autoSpaceDE w:val="0"/>
        <w:autoSpaceDN w:val="0"/>
        <w:adjustRightInd w:val="0"/>
        <w:ind w:firstLine="640" w:firstLineChars="200"/>
        <w:contextualSpacing/>
        <w:rPr>
          <w:rFonts w:ascii="仿宋_GB2312" w:eastAsia="仿宋_GB2312" w:cs="仿宋_GB2312"/>
          <w:kern w:val="0"/>
          <w:szCs w:val="32"/>
        </w:rPr>
      </w:pPr>
      <w:r>
        <w:rPr>
          <w:rFonts w:hint="eastAsia" w:ascii="黑体" w:hAnsi="黑体" w:eastAsia="黑体" w:cs="仿宋_GB2312"/>
          <w:kern w:val="0"/>
          <w:szCs w:val="32"/>
        </w:rPr>
        <w:t>第</w:t>
      </w:r>
      <w:r>
        <w:rPr>
          <w:rFonts w:hint="eastAsia" w:ascii="黑体" w:hAnsi="黑体" w:eastAsia="黑体"/>
          <w:color w:val="000000"/>
          <w:szCs w:val="32"/>
        </w:rPr>
        <w:t>五十七</w:t>
      </w:r>
      <w:r>
        <w:rPr>
          <w:rFonts w:hint="eastAsia" w:ascii="黑体" w:hAnsi="黑体" w:eastAsia="黑体" w:cs="仿宋_GB2312"/>
          <w:kern w:val="0"/>
          <w:szCs w:val="32"/>
        </w:rPr>
        <w:t>条</w:t>
      </w:r>
      <w:r>
        <w:rPr>
          <w:rFonts w:hint="eastAsia" w:ascii="仿宋_GB2312" w:eastAsia="仿宋_GB2312" w:cs="仿宋_GB2312"/>
          <w:kern w:val="0"/>
          <w:szCs w:val="32"/>
        </w:rPr>
        <w:t xml:space="preserve"> </w:t>
      </w:r>
      <w:r>
        <w:rPr>
          <w:rFonts w:ascii="仿宋_GB2312" w:eastAsia="仿宋_GB2312" w:cs="仿宋_GB2312"/>
          <w:kern w:val="0"/>
          <w:szCs w:val="32"/>
        </w:rPr>
        <w:t xml:space="preserve"> </w:t>
      </w:r>
      <w:r>
        <w:rPr>
          <w:rFonts w:hint="eastAsia" w:ascii="仿宋_GB2312" w:eastAsia="仿宋_GB2312" w:cs="仿宋_GB2312"/>
          <w:kern w:val="0"/>
          <w:szCs w:val="32"/>
        </w:rPr>
        <w:t>本协议一式两份，甲乙双方各执一份，具有同等效力。</w:t>
      </w:r>
    </w:p>
    <w:p w14:paraId="16FFA33A">
      <w:pPr>
        <w:pStyle w:val="6"/>
        <w:ind w:firstLine="640" w:firstLineChars="200"/>
        <w:contextualSpacing/>
        <w:rPr>
          <w:rFonts w:hint="eastAsia" w:ascii="仿宋_GB2312" w:hAnsi="仿宋" w:eastAsia="仿宋_GB2312"/>
          <w:color w:val="000000"/>
          <w:sz w:val="32"/>
          <w:szCs w:val="32"/>
        </w:rPr>
      </w:pPr>
    </w:p>
    <w:p w14:paraId="2EA7736D">
      <w:pPr>
        <w:contextualSpacing/>
        <w:rPr>
          <w:rFonts w:ascii="仿宋_GB2312" w:hAnsi="仿宋" w:eastAsia="仿宋_GB2312"/>
          <w:color w:val="000000"/>
          <w:szCs w:val="32"/>
        </w:rPr>
      </w:pPr>
      <w:r>
        <w:rPr>
          <w:rFonts w:hint="eastAsia" w:ascii="仿宋_GB2312" w:hAnsi="仿宋" w:eastAsia="仿宋_GB2312"/>
          <w:color w:val="000000"/>
          <w:szCs w:val="32"/>
        </w:rPr>
        <w:t xml:space="preserve">甲方(签章)：                      乙方(签章)： </w:t>
      </w:r>
    </w:p>
    <w:p w14:paraId="3C19B5C9">
      <w:pPr>
        <w:contextualSpacing/>
        <w:rPr>
          <w:rFonts w:ascii="仿宋_GB2312" w:hAnsi="仿宋" w:eastAsia="仿宋_GB2312"/>
          <w:color w:val="000000"/>
          <w:szCs w:val="32"/>
        </w:rPr>
      </w:pPr>
    </w:p>
    <w:p w14:paraId="0260C461">
      <w:pPr>
        <w:contextualSpacing/>
        <w:rPr>
          <w:rFonts w:ascii="仿宋_GB2312" w:hAnsi="仿宋" w:eastAsia="仿宋_GB2312"/>
          <w:color w:val="000000"/>
          <w:szCs w:val="32"/>
        </w:rPr>
      </w:pPr>
      <w:r>
        <w:rPr>
          <w:rFonts w:hint="eastAsia" w:ascii="仿宋_GB2312" w:hAnsi="仿宋" w:eastAsia="仿宋_GB2312"/>
          <w:color w:val="000000"/>
          <w:szCs w:val="32"/>
        </w:rPr>
        <w:t xml:space="preserve">法人代表（签字）：               </w:t>
      </w:r>
      <w:r>
        <w:rPr>
          <w:rFonts w:ascii="仿宋_GB2312" w:hAnsi="仿宋" w:eastAsia="仿宋_GB2312"/>
          <w:color w:val="000000"/>
          <w:szCs w:val="32"/>
        </w:rPr>
        <w:t xml:space="preserve">  </w:t>
      </w:r>
      <w:r>
        <w:rPr>
          <w:rFonts w:hint="eastAsia" w:ascii="仿宋_GB2312" w:hAnsi="仿宋" w:eastAsia="仿宋_GB2312"/>
          <w:color w:val="000000"/>
          <w:szCs w:val="32"/>
        </w:rPr>
        <w:t xml:space="preserve">法人代表（签字）： </w:t>
      </w:r>
    </w:p>
    <w:p w14:paraId="72301CC8">
      <w:pPr>
        <w:spacing w:before="579" w:beforeLines="100" w:line="900" w:lineRule="exact"/>
        <w:ind w:firstLine="1120" w:firstLineChars="350"/>
        <w:contextualSpacing/>
        <w:rPr>
          <w:rFonts w:hint="eastAsia" w:ascii="仿宋_GB2312" w:hAnsi="仿宋" w:eastAsia="仿宋_GB2312"/>
          <w:color w:val="000000"/>
          <w:szCs w:val="32"/>
        </w:rPr>
      </w:pPr>
      <w:r>
        <w:rPr>
          <w:rFonts w:hint="eastAsia" w:ascii="仿宋_GB2312" w:hAnsi="仿宋" w:eastAsia="仿宋_GB2312"/>
          <w:color w:val="000000"/>
          <w:szCs w:val="32"/>
        </w:rPr>
        <w:t>年 月 日                           年 月 日</w:t>
      </w:r>
    </w:p>
    <w:p w14:paraId="341B094D"/>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小标宋">
    <w:panose1 w:val="03000509000000000000"/>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3D04E4"/>
    <w:rsid w:val="456D6663"/>
    <w:rsid w:val="49BC3EA7"/>
    <w:rsid w:val="4C051762"/>
    <w:rsid w:val="682656FE"/>
    <w:rsid w:val="79485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华文仿宋" w:cs="Times New Roman"/>
      <w:kern w:val="2"/>
      <w:sz w:val="32"/>
      <w:szCs w:val="22"/>
      <w:lang w:val="en-US" w:eastAsia="zh-CN" w:bidi="ar-SA"/>
    </w:rPr>
  </w:style>
  <w:style w:type="paragraph" w:styleId="3">
    <w:name w:val="heading 1"/>
    <w:basedOn w:val="1"/>
    <w:next w:val="1"/>
    <w:qFormat/>
    <w:uiPriority w:val="0"/>
    <w:pPr>
      <w:keepNext/>
      <w:keepLines/>
      <w:wordWrap w:val="0"/>
      <w:spacing w:beforeLines="0" w:beforeAutospacing="0" w:afterLines="0" w:afterAutospacing="0" w:line="240" w:lineRule="auto"/>
      <w:jc w:val="center"/>
      <w:outlineLvl w:val="0"/>
    </w:pPr>
    <w:rPr>
      <w:rFonts w:eastAsia="小标宋" w:asciiTheme="minorAscii" w:hAnsiTheme="minorAscii"/>
      <w:b/>
      <w:kern w:val="44"/>
      <w:sz w:val="44"/>
    </w:rPr>
  </w:style>
  <w:style w:type="paragraph" w:styleId="4">
    <w:name w:val="heading 2"/>
    <w:basedOn w:val="1"/>
    <w:next w:val="1"/>
    <w:semiHidden/>
    <w:unhideWhenUsed/>
    <w:qFormat/>
    <w:uiPriority w:val="0"/>
    <w:pPr>
      <w:keepNext/>
      <w:keepLines/>
      <w:wordWrap w:val="0"/>
      <w:spacing w:beforeLines="0" w:beforeAutospacing="0" w:afterLines="0" w:afterAutospacing="0" w:line="560" w:lineRule="exact"/>
      <w:outlineLvl w:val="1"/>
    </w:pPr>
    <w:rPr>
      <w:rFonts w:ascii="Times New Roman" w:hAnsi="Times New Roman" w:eastAsia="黑体"/>
      <w:sz w:val="32"/>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Normal Indent"/>
    <w:basedOn w:val="1"/>
    <w:qFormat/>
    <w:uiPriority w:val="0"/>
    <w:pPr>
      <w:ind w:firstLine="880" w:firstLineChars="200"/>
    </w:pPr>
  </w:style>
  <w:style w:type="paragraph" w:styleId="5">
    <w:name w:val="Body Text"/>
    <w:basedOn w:val="1"/>
    <w:qFormat/>
    <w:uiPriority w:val="0"/>
    <w:pPr>
      <w:spacing w:line="0" w:lineRule="atLeast"/>
    </w:pPr>
    <w:rPr>
      <w:rFonts w:ascii="Calibri" w:hAnsi="Calibri" w:eastAsia="小标宋" w:cs="Times New Roman"/>
      <w:sz w:val="44"/>
      <w:szCs w:val="32"/>
    </w:rPr>
  </w:style>
  <w:style w:type="paragraph" w:styleId="6">
    <w:name w:val="Plain Text"/>
    <w:basedOn w:val="1"/>
    <w:qFormat/>
    <w:uiPriority w:val="0"/>
    <w:rPr>
      <w:rFonts w:ascii="Calibri" w:hAnsi="Courier New" w:eastAsia="宋体" w:cs="Times New Roman"/>
      <w:kern w:val="0"/>
      <w:sz w:val="20"/>
      <w:szCs w:val="21"/>
    </w:rPr>
  </w:style>
  <w:style w:type="paragraph" w:styleId="7">
    <w:name w:val="Normal (Web)"/>
    <w:basedOn w:val="1"/>
    <w:qFormat/>
    <w:uiPriority w:val="0"/>
    <w:pPr>
      <w:widowControl/>
      <w:spacing w:before="100" w:beforeAutospacing="1" w:after="100" w:afterAutospacing="1"/>
      <w:jc w:val="left"/>
    </w:pPr>
    <w:rPr>
      <w:rFonts w:ascii="Calibri" w:hAnsi="Calibri" w:eastAsia="宋体" w:cs="宋体"/>
      <w:color w:val="000000"/>
      <w:kern w:val="0"/>
      <w:sz w:val="24"/>
      <w:szCs w:val="24"/>
    </w:rPr>
  </w:style>
  <w:style w:type="paragraph" w:styleId="8">
    <w:name w:val="Title"/>
    <w:basedOn w:val="1"/>
    <w:next w:val="1"/>
    <w:qFormat/>
    <w:uiPriority w:val="0"/>
    <w:pPr>
      <w:spacing w:before="240" w:after="60"/>
      <w:jc w:val="center"/>
      <w:outlineLvl w:val="0"/>
    </w:pPr>
    <w:rPr>
      <w:rFonts w:ascii="Calibri Light" w:hAnsi="Calibri Light" w:eastAsia="宋体" w:cs="Times New Roman"/>
      <w:b/>
      <w:bCs/>
      <w:kern w:val="0"/>
      <w:szCs w:val="32"/>
    </w:rPr>
  </w:style>
  <w:style w:type="paragraph" w:customStyle="1" w:styleId="11">
    <w:name w:val="无间隔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11363</Words>
  <Characters>11401</Characters>
  <Lines>0</Lines>
  <Paragraphs>0</Paragraphs>
  <TotalTime>1</TotalTime>
  <ScaleCrop>false</ScaleCrop>
  <LinksUpToDate>false</LinksUpToDate>
  <CharactersWithSpaces>11945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2025-04-02T06:43:00Z</dcterms:created>
  <dc:creator>Administrator</dc:creator>
  <cp:lastModifiedBy>塵言 </cp:lastModifiedBy>
  <dcterms:modified xsi:type="dcterms:W3CDTF">2026-08-25T08:13:05Z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90D0B41DA9A1459299F7654FA5FE43A1_12</vt:lpwstr>
  </property>
  <property fmtid="{D5CDD505-2E9C-101B-9397-08002B2CF9AE}" pid="4" name="KSOTemplateDocerSaveRecord">
    <vt:lpwstr>eyJoZGlkIjoiMGFhNTAyYjcyMzMzN2NmYzgzYjFkMjI4NmNmMzRmOGIiLCJ1c2VySWQiOiIxMDI4MTE4NDQzIn0=</vt:lpwstr>
  </property>
</Properties>
</file>