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DD89" w14:textId="77777777" w:rsidR="007A5A65" w:rsidRDefault="00000000">
      <w:pPr>
        <w:pStyle w:val="a8"/>
        <w:widowControl/>
        <w:spacing w:beforeAutospacing="0" w:afterAutospacing="0" w:line="334" w:lineRule="atLeast"/>
        <w:jc w:val="both"/>
        <w:rPr>
          <w:rFonts w:ascii="黑体" w:eastAsia="黑体" w:hAnsi="黑体" w:cs="黑体" w:hint="eastAsia"/>
          <w:color w:val="333333"/>
          <w:sz w:val="32"/>
          <w:szCs w:val="32"/>
          <w:shd w:val="clear" w:color="auto" w:fill="FFFFFF"/>
        </w:rPr>
      </w:pPr>
      <w:r>
        <w:rPr>
          <w:rFonts w:ascii="黑体" w:eastAsia="黑体" w:hAnsi="黑体" w:cs="黑体" w:hint="eastAsia"/>
          <w:color w:val="333333"/>
          <w:sz w:val="32"/>
          <w:szCs w:val="32"/>
          <w:shd w:val="clear" w:color="auto" w:fill="FFFFFF"/>
        </w:rPr>
        <w:t>附件：</w:t>
      </w:r>
    </w:p>
    <w:p w14:paraId="7FC8C6A1" w14:textId="77777777" w:rsidR="007A5A65" w:rsidRDefault="00000000">
      <w:pPr>
        <w:pStyle w:val="a8"/>
        <w:widowControl/>
        <w:spacing w:beforeAutospacing="0" w:afterAutospacing="0" w:line="760" w:lineRule="exact"/>
        <w:jc w:val="center"/>
        <w:rPr>
          <w:rFonts w:ascii="方正小标宋简体" w:eastAsia="方正小标宋简体" w:hAnsi="方正小标宋简体" w:cs="方正小标宋简体"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2026年度江西省陶瓷工程专业技术人员</w:t>
      </w:r>
    </w:p>
    <w:p w14:paraId="547903FA" w14:textId="77777777" w:rsidR="007A5A65" w:rsidRDefault="00000000">
      <w:pPr>
        <w:pStyle w:val="a8"/>
        <w:widowControl/>
        <w:spacing w:beforeAutospacing="0" w:afterAutospacing="0" w:line="760" w:lineRule="exact"/>
        <w:jc w:val="center"/>
        <w:rPr>
          <w:rFonts w:ascii="方正小标宋简体" w:eastAsia="方正小标宋简体" w:hAnsi="方正小标宋简体" w:cs="方正小标宋简体"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继续教育专业科目学习指南</w:t>
      </w:r>
    </w:p>
    <w:p w14:paraId="419A6077" w14:textId="77777777" w:rsidR="007A5A65" w:rsidRDefault="007A5A65">
      <w:pPr>
        <w:pStyle w:val="a8"/>
        <w:widowControl/>
        <w:spacing w:beforeAutospacing="0" w:afterAutospacing="0" w:line="560" w:lineRule="exact"/>
        <w:jc w:val="center"/>
        <w:rPr>
          <w:rFonts w:ascii="方正小标宋简体" w:eastAsia="方正小标宋简体" w:hAnsi="方正小标宋简体" w:cs="方正小标宋简体" w:hint="eastAsia"/>
          <w:color w:val="333333"/>
          <w:sz w:val="36"/>
          <w:szCs w:val="36"/>
          <w:shd w:val="clear" w:color="auto" w:fill="FFFFFF"/>
        </w:rPr>
      </w:pPr>
    </w:p>
    <w:p w14:paraId="5A739C7B" w14:textId="77777777" w:rsidR="007A5A65" w:rsidRDefault="00000000">
      <w:pPr>
        <w:pStyle w:val="a8"/>
        <w:widowControl/>
        <w:spacing w:beforeAutospacing="0" w:afterAutospacing="0" w:line="560" w:lineRule="exact"/>
        <w:jc w:val="both"/>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各有关单位：</w:t>
      </w:r>
    </w:p>
    <w:p w14:paraId="20470010" w14:textId="77777777" w:rsidR="007A5A65" w:rsidRDefault="00000000">
      <w:pPr>
        <w:pStyle w:val="a8"/>
        <w:widowControl/>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根据</w:t>
      </w:r>
      <w:r>
        <w:rPr>
          <w:rFonts w:ascii="仿宋_GB2312" w:eastAsia="仿宋_GB2312" w:hAnsi="仿宋_GB2312" w:cs="仿宋_GB2312" w:hint="eastAsia"/>
          <w:spacing w:val="-4"/>
          <w:sz w:val="32"/>
          <w:szCs w:val="32"/>
        </w:rPr>
        <w:t xml:space="preserve">《江西省人力资源和社会保障厅关于开展 </w:t>
      </w:r>
      <w:r>
        <w:rPr>
          <w:rFonts w:ascii="仿宋_GB2312" w:eastAsia="仿宋_GB2312" w:hAnsi="仿宋_GB2312" w:cs="仿宋_GB2312" w:hint="eastAsia"/>
          <w:sz w:val="32"/>
          <w:szCs w:val="32"/>
        </w:rPr>
        <w:t>2026</w:t>
      </w:r>
      <w:r>
        <w:rPr>
          <w:rFonts w:ascii="仿宋_GB2312" w:eastAsia="仿宋_GB2312" w:hAnsi="仿宋_GB2312" w:cs="仿宋_GB2312" w:hint="eastAsia"/>
          <w:spacing w:val="-8"/>
          <w:w w:val="95"/>
          <w:sz w:val="32"/>
          <w:szCs w:val="32"/>
        </w:rPr>
        <w:t>年度专业技术人员继续教育的通知》</w:t>
      </w:r>
      <w:r>
        <w:rPr>
          <w:rFonts w:ascii="仿宋_GB2312" w:eastAsia="仿宋_GB2312" w:hAnsi="仿宋_GB2312" w:cs="仿宋_GB2312" w:hint="eastAsia"/>
          <w:w w:val="95"/>
          <w:sz w:val="32"/>
          <w:szCs w:val="32"/>
        </w:rPr>
        <w:t>（</w:t>
      </w:r>
      <w:r>
        <w:rPr>
          <w:rFonts w:ascii="仿宋_GB2312" w:eastAsia="仿宋_GB2312" w:hAnsi="仿宋_GB2312" w:cs="仿宋_GB2312" w:hint="eastAsia"/>
          <w:spacing w:val="-14"/>
          <w:w w:val="95"/>
          <w:sz w:val="32"/>
          <w:szCs w:val="32"/>
        </w:rPr>
        <w:t>赣</w:t>
      </w:r>
      <w:proofErr w:type="gramStart"/>
      <w:r>
        <w:rPr>
          <w:rFonts w:ascii="仿宋_GB2312" w:eastAsia="仿宋_GB2312" w:hAnsi="仿宋_GB2312" w:cs="仿宋_GB2312" w:hint="eastAsia"/>
          <w:spacing w:val="-14"/>
          <w:w w:val="95"/>
          <w:sz w:val="32"/>
          <w:szCs w:val="32"/>
        </w:rPr>
        <w:t>人社函</w:t>
      </w:r>
      <w:proofErr w:type="gramEnd"/>
      <w:r>
        <w:rPr>
          <w:rFonts w:ascii="仿宋_GB2312" w:eastAsia="仿宋_GB2312" w:hAnsi="仿宋_GB2312" w:cs="仿宋_GB2312" w:hint="eastAsia"/>
          <w:spacing w:val="-14"/>
          <w:w w:val="95"/>
          <w:sz w:val="32"/>
          <w:szCs w:val="32"/>
        </w:rPr>
        <w:t>〔</w:t>
      </w:r>
      <w:r>
        <w:rPr>
          <w:rFonts w:ascii="仿宋_GB2312" w:eastAsia="仿宋_GB2312" w:hAnsi="仿宋_GB2312" w:cs="仿宋_GB2312" w:hint="eastAsia"/>
          <w:w w:val="95"/>
          <w:sz w:val="32"/>
          <w:szCs w:val="32"/>
        </w:rPr>
        <w:t>2026</w:t>
      </w:r>
      <w:r>
        <w:rPr>
          <w:rFonts w:ascii="仿宋_GB2312" w:eastAsia="仿宋_GB2312" w:hAnsi="仿宋_GB2312" w:cs="仿宋_GB2312" w:hint="eastAsia"/>
          <w:spacing w:val="-67"/>
          <w:w w:val="95"/>
          <w:sz w:val="32"/>
          <w:szCs w:val="32"/>
        </w:rPr>
        <w:t>〕9</w:t>
      </w:r>
      <w:r>
        <w:rPr>
          <w:rFonts w:ascii="仿宋_GB2312" w:eastAsia="仿宋_GB2312" w:hAnsi="仿宋_GB2312" w:cs="仿宋_GB2312" w:hint="eastAsia"/>
          <w:w w:val="95"/>
          <w:sz w:val="32"/>
          <w:szCs w:val="32"/>
        </w:rPr>
        <w:t>号</w:t>
      </w:r>
      <w:r>
        <w:rPr>
          <w:rFonts w:ascii="仿宋_GB2312" w:eastAsia="仿宋_GB2312" w:hAnsi="仿宋_GB2312" w:cs="仿宋_GB2312" w:hint="eastAsia"/>
          <w:spacing w:val="-39"/>
          <w:w w:val="95"/>
          <w:sz w:val="32"/>
          <w:szCs w:val="32"/>
        </w:rPr>
        <w:t>）</w:t>
      </w:r>
      <w:r>
        <w:rPr>
          <w:rFonts w:ascii="仿宋_GB2312" w:eastAsia="仿宋_GB2312" w:hAnsi="仿宋_GB2312" w:cs="仿宋_GB2312" w:hint="eastAsia"/>
          <w:color w:val="000000"/>
          <w:sz w:val="32"/>
          <w:szCs w:val="32"/>
        </w:rPr>
        <w:t>要求，结合行业实际，现就做好2026年度陶瓷工程专业技术人员继续教育工作通知如下。</w:t>
      </w:r>
    </w:p>
    <w:p w14:paraId="5EDA366F" w14:textId="77777777" w:rsidR="007A5A65" w:rsidRDefault="00000000">
      <w:pPr>
        <w:pStyle w:val="a8"/>
        <w:widowControl/>
        <w:spacing w:beforeAutospacing="0" w:afterAutospacing="0" w:line="560" w:lineRule="exac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一、学习对象</w:t>
      </w:r>
    </w:p>
    <w:p w14:paraId="74672B3E" w14:textId="77777777" w:rsidR="007A5A65" w:rsidRDefault="00000000">
      <w:pPr>
        <w:pStyle w:val="a8"/>
        <w:widowControl/>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全省行政区域内企事业单位和其他社会组织中从事</w:t>
      </w:r>
      <w:r>
        <w:rPr>
          <w:rFonts w:ascii="仿宋_GB2312" w:eastAsia="仿宋_GB2312" w:hAnsi="仿宋_GB2312" w:cs="仿宋_GB2312" w:hint="eastAsia"/>
          <w:color w:val="333333"/>
          <w:sz w:val="32"/>
          <w:szCs w:val="32"/>
          <w:shd w:val="clear" w:color="auto" w:fill="FFFFFF"/>
        </w:rPr>
        <w:t>陶瓷矿山开采、陶瓷制品制造、陶瓷资源综合回收利用等有关工艺、技术及生产装备研究、产品开发、产品检测、技术管理等工作的在职在岗工程技术人员</w:t>
      </w:r>
      <w:r>
        <w:rPr>
          <w:rFonts w:ascii="仿宋_GB2312" w:eastAsia="仿宋_GB2312" w:hAnsi="仿宋_GB2312" w:cs="仿宋_GB2312" w:hint="eastAsia"/>
          <w:color w:val="000000"/>
          <w:sz w:val="32"/>
          <w:szCs w:val="32"/>
        </w:rPr>
        <w:t>，均应参加继续教育学习培训。</w:t>
      </w:r>
    </w:p>
    <w:p w14:paraId="34F2F172" w14:textId="77777777" w:rsidR="007A5A65" w:rsidRDefault="00000000">
      <w:pPr>
        <w:pStyle w:val="a8"/>
        <w:widowControl/>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黑体" w:eastAsia="黑体" w:hAnsi="黑体" w:cs="黑体" w:hint="eastAsia"/>
          <w:color w:val="000000"/>
          <w:sz w:val="32"/>
          <w:szCs w:val="32"/>
        </w:rPr>
        <w:t>二、学习时间</w:t>
      </w:r>
    </w:p>
    <w:p w14:paraId="67256912" w14:textId="77777777" w:rsidR="007A5A65" w:rsidRDefault="00000000">
      <w:pPr>
        <w:pStyle w:val="a8"/>
        <w:widowControl/>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本通知印发起至2026年12月31日。因伤、病、</w:t>
      </w:r>
      <w:proofErr w:type="gramStart"/>
      <w:r>
        <w:rPr>
          <w:rFonts w:ascii="仿宋_GB2312" w:eastAsia="仿宋_GB2312" w:hAnsi="仿宋_GB2312" w:cs="仿宋_GB2312" w:hint="eastAsia"/>
          <w:color w:val="000000"/>
          <w:sz w:val="32"/>
          <w:szCs w:val="32"/>
        </w:rPr>
        <w:t>孕及其</w:t>
      </w:r>
      <w:proofErr w:type="gramEnd"/>
      <w:r>
        <w:rPr>
          <w:rFonts w:ascii="仿宋_GB2312" w:eastAsia="仿宋_GB2312" w:hAnsi="仿宋_GB2312" w:cs="仿宋_GB2312" w:hint="eastAsia"/>
          <w:color w:val="000000"/>
          <w:sz w:val="32"/>
          <w:szCs w:val="32"/>
        </w:rPr>
        <w:t>他原因未完成年度继续教育学时的，应当及时补学。</w:t>
      </w:r>
    </w:p>
    <w:p w14:paraId="213CBC65" w14:textId="77777777" w:rsidR="007A5A65" w:rsidRDefault="00000000">
      <w:pPr>
        <w:pStyle w:val="a8"/>
        <w:widowControl/>
        <w:numPr>
          <w:ilvl w:val="0"/>
          <w:numId w:val="1"/>
        </w:numPr>
        <w:spacing w:beforeAutospacing="0" w:afterAutospacing="0" w:line="560" w:lineRule="exac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学习科目</w:t>
      </w:r>
    </w:p>
    <w:p w14:paraId="321434E7" w14:textId="77777777" w:rsidR="007A5A65" w:rsidRDefault="00000000">
      <w:pPr>
        <w:pStyle w:val="a8"/>
        <w:widowControl/>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继续教育累计应不少于90学时，</w:t>
      </w:r>
      <w:proofErr w:type="gramStart"/>
      <w:r>
        <w:rPr>
          <w:rFonts w:ascii="仿宋_GB2312" w:eastAsia="仿宋_GB2312" w:hAnsi="仿宋_GB2312" w:cs="仿宋_GB2312" w:hint="eastAsia"/>
          <w:color w:val="000000"/>
          <w:sz w:val="32"/>
          <w:szCs w:val="32"/>
        </w:rPr>
        <w:t>其中公需科目</w:t>
      </w:r>
      <w:proofErr w:type="gramEnd"/>
      <w:r>
        <w:rPr>
          <w:rFonts w:ascii="仿宋_GB2312" w:eastAsia="仿宋_GB2312" w:hAnsi="仿宋_GB2312" w:cs="仿宋_GB2312" w:hint="eastAsia"/>
          <w:color w:val="000000"/>
          <w:sz w:val="32"/>
          <w:szCs w:val="32"/>
        </w:rPr>
        <w:t>不少于30学时，专业科目不少于60学时。</w:t>
      </w:r>
    </w:p>
    <w:p w14:paraId="4C3E3CF6" w14:textId="77777777" w:rsidR="007A5A65" w:rsidRDefault="00000000">
      <w:pPr>
        <w:pStyle w:val="a8"/>
        <w:widowControl/>
        <w:numPr>
          <w:ilvl w:val="0"/>
          <w:numId w:val="2"/>
        </w:numPr>
        <w:spacing w:beforeAutospacing="0" w:afterAutospacing="0" w:line="560" w:lineRule="exact"/>
        <w:ind w:firstLineChars="200" w:firstLine="643"/>
        <w:jc w:val="both"/>
        <w:rPr>
          <w:rFonts w:ascii="仿宋_GB2312" w:eastAsia="仿宋_GB2312" w:hAnsi="仿宋_GB2312" w:cs="仿宋_GB2312" w:hint="eastAsia"/>
          <w:color w:val="000000"/>
          <w:sz w:val="32"/>
          <w:szCs w:val="32"/>
        </w:rPr>
      </w:pPr>
      <w:proofErr w:type="gramStart"/>
      <w:r>
        <w:rPr>
          <w:rFonts w:ascii="仿宋_GB2312" w:eastAsia="仿宋_GB2312" w:hAnsi="仿宋_GB2312" w:cs="仿宋_GB2312" w:hint="eastAsia"/>
          <w:b/>
          <w:bCs/>
          <w:color w:val="000000"/>
          <w:sz w:val="32"/>
          <w:szCs w:val="32"/>
        </w:rPr>
        <w:t>公需科目</w:t>
      </w:r>
      <w:proofErr w:type="gramEnd"/>
      <w:r>
        <w:rPr>
          <w:rFonts w:ascii="仿宋_GB2312" w:eastAsia="仿宋_GB2312" w:hAnsi="仿宋_GB2312" w:cs="仿宋_GB2312" w:hint="eastAsia"/>
          <w:b/>
          <w:bCs/>
          <w:color w:val="000000"/>
          <w:sz w:val="32"/>
          <w:szCs w:val="32"/>
        </w:rPr>
        <w:t>。</w:t>
      </w:r>
      <w:r>
        <w:rPr>
          <w:rFonts w:ascii="仿宋_GB2312" w:eastAsia="仿宋_GB2312" w:hAnsi="仿宋_GB2312" w:cs="仿宋_GB2312" w:hint="eastAsia"/>
          <w:color w:val="000000"/>
          <w:sz w:val="32"/>
          <w:szCs w:val="32"/>
        </w:rPr>
        <w:t>内容为“学习贯彻党的二十届四中全会精神”“学习贯彻省委十五届九次全会精神”“人工智能通识教育”三个专题。</w:t>
      </w:r>
    </w:p>
    <w:p w14:paraId="0AB5884E" w14:textId="77777777" w:rsidR="007A5A65" w:rsidRDefault="00000000">
      <w:pPr>
        <w:pStyle w:val="a8"/>
        <w:widowControl/>
        <w:numPr>
          <w:ilvl w:val="0"/>
          <w:numId w:val="2"/>
        </w:numPr>
        <w:spacing w:beforeAutospacing="0" w:afterAutospacing="0" w:line="560" w:lineRule="exact"/>
        <w:ind w:firstLineChars="200" w:firstLine="643"/>
        <w:jc w:val="both"/>
        <w:rPr>
          <w:rFonts w:ascii="仿宋_GB2312" w:eastAsia="仿宋_GB2312" w:hAnsi="仿宋_GB2312" w:cs="仿宋_GB2312" w:hint="eastAsia"/>
          <w:color w:val="000000"/>
          <w:sz w:val="32"/>
          <w:szCs w:val="32"/>
        </w:rPr>
      </w:pPr>
      <w:r>
        <w:rPr>
          <w:rFonts w:ascii="仿宋" w:eastAsia="仿宋" w:hAnsi="仿宋" w:cs="仿宋" w:hint="eastAsia"/>
          <w:b/>
          <w:bCs/>
          <w:color w:val="000000"/>
          <w:sz w:val="32"/>
          <w:szCs w:val="32"/>
        </w:rPr>
        <w:lastRenderedPageBreak/>
        <w:t>专业科目。</w:t>
      </w:r>
      <w:r>
        <w:rPr>
          <w:rFonts w:ascii="仿宋_GB2312" w:eastAsia="仿宋_GB2312" w:hAnsi="仿宋_GB2312" w:cs="仿宋_GB2312" w:hint="eastAsia"/>
          <w:color w:val="000000"/>
          <w:sz w:val="32"/>
          <w:szCs w:val="32"/>
        </w:rPr>
        <w:t>专业科目为继续教育的主要内容，包括专业技术人员从事陶瓷工程专业工作应当掌握的新理论、新知识、新技术、新方法等相关课程。</w:t>
      </w:r>
    </w:p>
    <w:p w14:paraId="713AD121" w14:textId="77777777" w:rsidR="007A5A65" w:rsidRDefault="00000000">
      <w:pPr>
        <w:pStyle w:val="a8"/>
        <w:widowControl/>
        <w:spacing w:beforeAutospacing="0" w:afterAutospacing="0" w:line="560" w:lineRule="exact"/>
        <w:ind w:firstLineChars="200" w:firstLine="640"/>
        <w:jc w:val="both"/>
        <w:rPr>
          <w:rFonts w:ascii="仿宋_GB2312" w:eastAsia="仿宋_GB2312" w:hAnsi="仿宋_GB2312" w:cs="仿宋_GB2312" w:hint="eastAsia"/>
          <w:color w:val="000000"/>
          <w:sz w:val="32"/>
          <w:szCs w:val="32"/>
        </w:rPr>
      </w:pPr>
      <w:r>
        <w:rPr>
          <w:rFonts w:ascii="黑体" w:eastAsia="黑体" w:hAnsi="黑体" w:cs="黑体" w:hint="eastAsia"/>
          <w:color w:val="000000"/>
          <w:sz w:val="32"/>
          <w:szCs w:val="32"/>
        </w:rPr>
        <w:t>四、学习方式</w:t>
      </w:r>
    </w:p>
    <w:p w14:paraId="7875D30D" w14:textId="77777777" w:rsidR="007A5A65" w:rsidRDefault="00000000">
      <w:pPr>
        <w:pStyle w:val="a8"/>
        <w:widowControl/>
        <w:spacing w:beforeAutospacing="0" w:afterAutospacing="0" w:line="56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参加继续教育的人员</w:t>
      </w:r>
      <w:proofErr w:type="gramStart"/>
      <w:r>
        <w:rPr>
          <w:rFonts w:ascii="仿宋_GB2312" w:eastAsia="仿宋_GB2312" w:hAnsi="仿宋_GB2312" w:cs="仿宋_GB2312" w:hint="eastAsia"/>
          <w:color w:val="000000"/>
          <w:sz w:val="32"/>
          <w:szCs w:val="32"/>
        </w:rPr>
        <w:t>通过微信小</w:t>
      </w:r>
      <w:proofErr w:type="gramEnd"/>
      <w:r>
        <w:rPr>
          <w:rFonts w:ascii="仿宋_GB2312" w:eastAsia="仿宋_GB2312" w:hAnsi="仿宋_GB2312" w:cs="仿宋_GB2312" w:hint="eastAsia"/>
          <w:color w:val="000000"/>
          <w:sz w:val="32"/>
          <w:szCs w:val="32"/>
        </w:rPr>
        <w:t>程序“电子社保卡”</w:t>
      </w:r>
      <w:proofErr w:type="gramStart"/>
      <w:r>
        <w:rPr>
          <w:rFonts w:ascii="仿宋_GB2312" w:eastAsia="仿宋_GB2312" w:hAnsi="仿宋_GB2312" w:cs="仿宋_GB2312" w:hint="eastAsia"/>
          <w:color w:val="000000"/>
          <w:sz w:val="32"/>
          <w:szCs w:val="32"/>
        </w:rPr>
        <w:t>扫码登录</w:t>
      </w:r>
      <w:proofErr w:type="gramEnd"/>
      <w:r>
        <w:rPr>
          <w:rFonts w:ascii="仿宋_GB2312" w:eastAsia="仿宋_GB2312" w:hAnsi="仿宋_GB2312" w:cs="仿宋_GB2312" w:hint="eastAsia"/>
          <w:color w:val="000000"/>
          <w:sz w:val="32"/>
          <w:szCs w:val="32"/>
        </w:rPr>
        <w:t>“江西省人事人才一体化平台-继续教育信息综合服务平台</w:t>
      </w:r>
    </w:p>
    <w:p w14:paraId="5B2E817F" w14:textId="77777777" w:rsidR="007A5A65" w:rsidRDefault="00000000">
      <w:pPr>
        <w:pStyle w:val="a8"/>
        <w:widowControl/>
        <w:spacing w:beforeAutospacing="0" w:afterAutospacing="0" w:line="560" w:lineRule="exact"/>
        <w:ind w:rightChars="-44" w:right="-92"/>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（https://hr.jxhrss.gov.cn/jxjygl）。</w:t>
      </w:r>
    </w:p>
    <w:p w14:paraId="222AD502" w14:textId="77777777" w:rsidR="007A5A65" w:rsidRDefault="00000000">
      <w:pPr>
        <w:pStyle w:val="a8"/>
        <w:widowControl/>
        <w:spacing w:beforeAutospacing="0" w:afterAutospacing="0" w:line="560" w:lineRule="exact"/>
        <w:ind w:firstLineChars="200" w:firstLine="643"/>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（一）</w:t>
      </w:r>
      <w:proofErr w:type="gramStart"/>
      <w:r>
        <w:rPr>
          <w:rFonts w:ascii="仿宋_GB2312" w:eastAsia="仿宋_GB2312" w:hAnsi="仿宋_GB2312" w:cs="仿宋_GB2312" w:hint="eastAsia"/>
          <w:b/>
          <w:bCs/>
          <w:color w:val="000000"/>
          <w:sz w:val="32"/>
          <w:szCs w:val="32"/>
        </w:rPr>
        <w:t>公需科目</w:t>
      </w:r>
      <w:proofErr w:type="gramEnd"/>
      <w:r>
        <w:rPr>
          <w:rFonts w:ascii="仿宋_GB2312" w:eastAsia="仿宋_GB2312" w:hAnsi="仿宋_GB2312" w:cs="仿宋_GB2312" w:hint="eastAsia"/>
          <w:b/>
          <w:bCs/>
          <w:color w:val="000000"/>
          <w:sz w:val="32"/>
          <w:szCs w:val="32"/>
        </w:rPr>
        <w:t>学习。</w:t>
      </w:r>
      <w:proofErr w:type="gramStart"/>
      <w:r>
        <w:rPr>
          <w:rFonts w:ascii="仿宋_GB2312" w:eastAsia="仿宋_GB2312" w:hAnsi="仿宋_GB2312" w:cs="仿宋_GB2312" w:hint="eastAsia"/>
          <w:color w:val="000000"/>
          <w:sz w:val="32"/>
          <w:szCs w:val="32"/>
        </w:rPr>
        <w:t>选择公需科目</w:t>
      </w:r>
      <w:proofErr w:type="gramEnd"/>
      <w:r>
        <w:rPr>
          <w:rFonts w:ascii="仿宋_GB2312" w:eastAsia="仿宋_GB2312" w:hAnsi="仿宋_GB2312" w:cs="仿宋_GB2312" w:hint="eastAsia"/>
          <w:color w:val="000000"/>
          <w:sz w:val="32"/>
          <w:szCs w:val="32"/>
        </w:rPr>
        <w:t>网络课程学习平台开展学习，学</w:t>
      </w:r>
      <w:proofErr w:type="gramStart"/>
      <w:r>
        <w:rPr>
          <w:rFonts w:ascii="仿宋_GB2312" w:eastAsia="仿宋_GB2312" w:hAnsi="仿宋_GB2312" w:cs="仿宋_GB2312" w:hint="eastAsia"/>
          <w:color w:val="000000"/>
          <w:sz w:val="32"/>
          <w:szCs w:val="32"/>
        </w:rPr>
        <w:t>满相应</w:t>
      </w:r>
      <w:proofErr w:type="gramEnd"/>
      <w:r>
        <w:rPr>
          <w:rFonts w:ascii="仿宋_GB2312" w:eastAsia="仿宋_GB2312" w:hAnsi="仿宋_GB2312" w:cs="仿宋_GB2312" w:hint="eastAsia"/>
          <w:color w:val="000000"/>
          <w:sz w:val="32"/>
          <w:szCs w:val="32"/>
        </w:rPr>
        <w:t>学时并经考试合格，系统将自行判定并计入个人</w:t>
      </w:r>
      <w:proofErr w:type="gramStart"/>
      <w:r>
        <w:rPr>
          <w:rFonts w:ascii="仿宋_GB2312" w:eastAsia="仿宋_GB2312" w:hAnsi="仿宋_GB2312" w:cs="仿宋_GB2312" w:hint="eastAsia"/>
          <w:color w:val="000000"/>
          <w:sz w:val="32"/>
          <w:szCs w:val="32"/>
        </w:rPr>
        <w:t>2026年公需科目</w:t>
      </w:r>
      <w:proofErr w:type="gramEnd"/>
      <w:r>
        <w:rPr>
          <w:rFonts w:ascii="仿宋_GB2312" w:eastAsia="仿宋_GB2312" w:hAnsi="仿宋_GB2312" w:cs="仿宋_GB2312" w:hint="eastAsia"/>
          <w:color w:val="000000"/>
          <w:sz w:val="32"/>
          <w:szCs w:val="32"/>
        </w:rPr>
        <w:t>学时，无需个人申报。</w:t>
      </w:r>
    </w:p>
    <w:p w14:paraId="603A6878" w14:textId="77777777" w:rsidR="007A5A65" w:rsidRDefault="00000000">
      <w:pPr>
        <w:pStyle w:val="a8"/>
        <w:widowControl/>
        <w:spacing w:beforeAutospacing="0" w:afterAutospacing="0" w:line="560" w:lineRule="exact"/>
        <w:ind w:firstLineChars="200" w:firstLine="643"/>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（二）专业科目学习。</w:t>
      </w:r>
      <w:r>
        <w:rPr>
          <w:rFonts w:ascii="仿宋_GB2312" w:eastAsia="仿宋_GB2312" w:hAnsi="仿宋_GB2312" w:cs="仿宋_GB2312" w:hint="eastAsia"/>
          <w:color w:val="000000"/>
          <w:sz w:val="32"/>
          <w:szCs w:val="32"/>
        </w:rPr>
        <w:t>通过江西师范大学“江西专技学习网”（https://zjpt.jxnu.edu.cn/），完成学时可直接计入个人2026年专业科目学时，无需个人申报。</w:t>
      </w:r>
    </w:p>
    <w:p w14:paraId="3BC6AD05" w14:textId="77777777" w:rsidR="007A5A65" w:rsidRDefault="00000000">
      <w:pPr>
        <w:pStyle w:val="a8"/>
        <w:widowControl/>
        <w:spacing w:beforeAutospacing="0" w:afterAutospacing="0" w:line="560" w:lineRule="exact"/>
        <w:ind w:rightChars="-44" w:right="-92" w:firstLineChars="200" w:firstLine="643"/>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（三）学时折算。</w:t>
      </w:r>
    </w:p>
    <w:p w14:paraId="4FE86218" w14:textId="77777777" w:rsidR="007A5A65" w:rsidRDefault="00000000">
      <w:pPr>
        <w:pStyle w:val="a8"/>
        <w:widowControl/>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按照《江西省专业技术人员继续教育学时认定办法（试行）》（赣人社规〔2023〕2号）有关要求执行，通过江西省人事人才一体化平台—继续教育信息综合服务平台—“管理功能”—“折算学时申报”栏目进行申报，经审核批准后将获得相应学时并记录在江西省人事人才一体化平台。</w:t>
      </w:r>
    </w:p>
    <w:p w14:paraId="21082549" w14:textId="77777777" w:rsidR="007A5A65" w:rsidRDefault="00000000">
      <w:pPr>
        <w:pStyle w:val="a8"/>
        <w:widowControl/>
        <w:spacing w:beforeAutospacing="0" w:afterAutospacing="0" w:line="560" w:lineRule="exac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五、有关要求</w:t>
      </w:r>
    </w:p>
    <w:p w14:paraId="508B30F1" w14:textId="77777777" w:rsidR="007A5A65" w:rsidRDefault="00000000">
      <w:pPr>
        <w:pStyle w:val="HTML"/>
        <w:spacing w:line="560" w:lineRule="exact"/>
        <w:ind w:firstLineChars="200" w:firstLine="643"/>
        <w:jc w:val="both"/>
        <w:rPr>
          <w:rFonts w:ascii="仿宋_GB2312" w:eastAsia="仿宋_GB2312" w:hAnsi="仿宋_GB2312" w:cs="仿宋_GB2312"/>
          <w:color w:val="000000"/>
          <w:sz w:val="32"/>
          <w:szCs w:val="32"/>
        </w:rPr>
      </w:pPr>
      <w:r>
        <w:rPr>
          <w:rFonts w:ascii="仿宋_GB2312" w:eastAsia="仿宋_GB2312" w:hAnsi="仿宋_GB2312" w:cs="仿宋_GB2312"/>
          <w:b/>
          <w:bCs/>
          <w:color w:val="000000"/>
          <w:sz w:val="32"/>
          <w:szCs w:val="32"/>
        </w:rPr>
        <w:t>（一）加强组织管理。</w:t>
      </w:r>
      <w:r>
        <w:rPr>
          <w:rFonts w:ascii="仿宋_GB2312" w:eastAsia="仿宋_GB2312" w:hAnsi="仿宋_GB2312" w:cs="仿宋_GB2312"/>
          <w:color w:val="000000"/>
          <w:sz w:val="32"/>
          <w:szCs w:val="32"/>
        </w:rPr>
        <w:t>各单位要坚持投资于物和投资于人紧密结合，按照法律法规和国家有关规定提取和使用职工教育经费，为专业技术人员参加继续教育提供必要的保障。</w:t>
      </w:r>
    </w:p>
    <w:p w14:paraId="06E17C13" w14:textId="77777777" w:rsidR="007A5A65" w:rsidRDefault="00000000">
      <w:pPr>
        <w:spacing w:line="560" w:lineRule="exact"/>
        <w:ind w:firstLineChars="200" w:firstLine="643"/>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b/>
          <w:bCs/>
          <w:color w:val="000000"/>
          <w:sz w:val="32"/>
          <w:szCs w:val="32"/>
        </w:rPr>
        <w:t>（二）提高服务水平。</w:t>
      </w:r>
      <w:r>
        <w:rPr>
          <w:rFonts w:ascii="仿宋_GB2312" w:eastAsia="仿宋_GB2312" w:hAnsi="仿宋_GB2312" w:cs="仿宋_GB2312" w:hint="eastAsia"/>
          <w:color w:val="000000"/>
          <w:kern w:val="0"/>
          <w:sz w:val="32"/>
          <w:szCs w:val="32"/>
        </w:rPr>
        <w:t>各单位要充分利用好江西省人事人才</w:t>
      </w:r>
      <w:r>
        <w:rPr>
          <w:rFonts w:ascii="仿宋_GB2312" w:eastAsia="仿宋_GB2312" w:hAnsi="仿宋_GB2312" w:cs="仿宋_GB2312" w:hint="eastAsia"/>
          <w:color w:val="000000"/>
          <w:kern w:val="0"/>
          <w:sz w:val="32"/>
          <w:szCs w:val="32"/>
        </w:rPr>
        <w:lastRenderedPageBreak/>
        <w:t>一体化平台—继续教育信息综合服务平台，认真做好专业技术人员继续教育的服务工作，认真做好专业技术人员继续教育的服务工作，规范完成本年度学时填报、审核、监督工作。</w:t>
      </w:r>
    </w:p>
    <w:p w14:paraId="1361954F" w14:textId="77777777" w:rsidR="007A5A65" w:rsidRDefault="00000000">
      <w:pPr>
        <w:pStyle w:val="HTML"/>
        <w:spacing w:line="560" w:lineRule="exact"/>
        <w:ind w:firstLineChars="200" w:firstLine="643"/>
        <w:jc w:val="both"/>
        <w:rPr>
          <w:rFonts w:ascii="仿宋_GB2312" w:eastAsia="仿宋_GB2312" w:hAnsi="仿宋_GB2312" w:cs="仿宋_GB2312"/>
          <w:color w:val="000000"/>
          <w:sz w:val="32"/>
          <w:szCs w:val="32"/>
        </w:rPr>
      </w:pPr>
      <w:r>
        <w:rPr>
          <w:rFonts w:ascii="仿宋_GB2312" w:eastAsia="仿宋_GB2312" w:hAnsi="仿宋_GB2312" w:cs="仿宋_GB2312"/>
          <w:b/>
          <w:bCs/>
          <w:color w:val="000000"/>
          <w:sz w:val="32"/>
          <w:szCs w:val="32"/>
        </w:rPr>
        <w:t>（三）督促按照完成。</w:t>
      </w:r>
      <w:r>
        <w:rPr>
          <w:rFonts w:ascii="仿宋_GB2312" w:eastAsia="仿宋_GB2312" w:hAnsi="仿宋_GB2312" w:cs="仿宋_GB2312"/>
          <w:color w:val="000000"/>
          <w:sz w:val="32"/>
          <w:szCs w:val="32"/>
        </w:rPr>
        <w:t>各单位要把专业技术人员参加继续教育情况作为专业技术人员考核评价、岗位聘用的重要依据，督促专业技术人员按时完成继续教育任务。</w:t>
      </w:r>
    </w:p>
    <w:p w14:paraId="21A9B837" w14:textId="77777777" w:rsidR="007A5A65" w:rsidRDefault="007A5A65">
      <w:pPr>
        <w:pStyle w:val="a4"/>
        <w:spacing w:before="54" w:line="560" w:lineRule="exact"/>
        <w:ind w:left="1824" w:right="271" w:hanging="960"/>
        <w:rPr>
          <w:rFonts w:ascii="仿宋_GB2312" w:eastAsia="仿宋_GB2312" w:hAnsi="仿宋_GB2312" w:cs="仿宋_GB2312" w:hint="eastAsia"/>
          <w:kern w:val="0"/>
        </w:rPr>
      </w:pPr>
    </w:p>
    <w:p w14:paraId="070CD885" w14:textId="77777777" w:rsidR="007A5A65" w:rsidRDefault="00000000">
      <w:pPr>
        <w:pStyle w:val="a4"/>
        <w:spacing w:before="54" w:line="560" w:lineRule="exact"/>
        <w:ind w:left="1824" w:right="271" w:hanging="960"/>
        <w:rPr>
          <w:rFonts w:ascii="仿宋_GB2312" w:eastAsia="仿宋_GB2312" w:hAnsi="仿宋_GB2312" w:cs="仿宋_GB2312" w:hint="eastAsia"/>
          <w:kern w:val="0"/>
        </w:rPr>
      </w:pPr>
      <w:r>
        <w:rPr>
          <w:rFonts w:ascii="仿宋_GB2312" w:eastAsia="仿宋_GB2312" w:hAnsi="仿宋_GB2312" w:cs="仿宋_GB2312" w:hint="eastAsia"/>
          <w:kern w:val="0"/>
        </w:rPr>
        <w:t>附：江西省陶瓷工程专业技术人员网络学习平台名单</w:t>
      </w:r>
    </w:p>
    <w:p w14:paraId="12DB252F" w14:textId="77777777" w:rsidR="007A5A65" w:rsidRDefault="007A5A65">
      <w:pPr>
        <w:pStyle w:val="a4"/>
        <w:spacing w:before="54" w:line="560" w:lineRule="exact"/>
        <w:ind w:left="1824" w:right="271" w:hanging="960"/>
        <w:rPr>
          <w:rFonts w:ascii="仿宋_GB2312" w:eastAsia="仿宋_GB2312" w:hAnsi="仿宋_GB2312" w:cs="仿宋_GB2312" w:hint="eastAsia"/>
          <w:kern w:val="0"/>
        </w:rPr>
      </w:pPr>
    </w:p>
    <w:p w14:paraId="7C2E3EC2" w14:textId="77777777" w:rsidR="007A5A65" w:rsidRDefault="007A5A65">
      <w:pPr>
        <w:pStyle w:val="a4"/>
        <w:spacing w:before="54" w:line="560" w:lineRule="exact"/>
        <w:ind w:left="1824" w:right="271" w:hanging="960"/>
        <w:rPr>
          <w:rFonts w:ascii="仿宋_GB2312" w:eastAsia="仿宋_GB2312" w:hAnsi="仿宋_GB2312" w:cs="仿宋_GB2312" w:hint="eastAsia"/>
          <w:kern w:val="0"/>
        </w:rPr>
      </w:pPr>
    </w:p>
    <w:p w14:paraId="152A8BA5" w14:textId="77777777" w:rsidR="007A5A65" w:rsidRDefault="007A5A65">
      <w:pPr>
        <w:pStyle w:val="a4"/>
        <w:spacing w:before="54" w:line="560" w:lineRule="exact"/>
        <w:ind w:left="1824" w:right="271" w:hanging="960"/>
        <w:rPr>
          <w:rFonts w:ascii="仿宋_GB2312" w:eastAsia="仿宋_GB2312" w:hAnsi="仿宋_GB2312" w:cs="仿宋_GB2312" w:hint="eastAsia"/>
          <w:kern w:val="0"/>
        </w:rPr>
      </w:pPr>
    </w:p>
    <w:p w14:paraId="1C3BF377" w14:textId="77777777" w:rsidR="007A5A65" w:rsidRDefault="007A5A65">
      <w:pPr>
        <w:pStyle w:val="a4"/>
        <w:spacing w:before="54" w:line="560" w:lineRule="exact"/>
        <w:ind w:left="1824" w:right="271" w:hanging="960"/>
        <w:rPr>
          <w:rFonts w:ascii="仿宋_GB2312" w:eastAsia="仿宋_GB2312" w:hAnsi="仿宋_GB2312" w:cs="仿宋_GB2312" w:hint="eastAsia"/>
          <w:kern w:val="0"/>
        </w:rPr>
      </w:pPr>
    </w:p>
    <w:p w14:paraId="42F7CA63" w14:textId="77777777" w:rsidR="007A5A65" w:rsidRDefault="007A5A65">
      <w:pPr>
        <w:pStyle w:val="a4"/>
        <w:spacing w:before="54" w:line="560" w:lineRule="exact"/>
        <w:ind w:left="1824" w:right="271" w:hanging="960"/>
        <w:rPr>
          <w:rFonts w:ascii="仿宋_GB2312" w:eastAsia="仿宋_GB2312" w:hAnsi="仿宋_GB2312" w:cs="仿宋_GB2312" w:hint="eastAsia"/>
          <w:kern w:val="0"/>
        </w:rPr>
      </w:pPr>
    </w:p>
    <w:p w14:paraId="371C0D9C" w14:textId="77777777" w:rsidR="007A5A65" w:rsidRDefault="007A5A65">
      <w:pPr>
        <w:pStyle w:val="a4"/>
        <w:spacing w:before="54" w:line="560" w:lineRule="exact"/>
        <w:ind w:left="1824" w:right="271" w:hanging="960"/>
        <w:rPr>
          <w:rFonts w:ascii="仿宋_GB2312" w:eastAsia="仿宋_GB2312" w:hAnsi="仿宋_GB2312" w:cs="仿宋_GB2312" w:hint="eastAsia"/>
          <w:kern w:val="0"/>
        </w:rPr>
      </w:pPr>
    </w:p>
    <w:p w14:paraId="4A42E4C0" w14:textId="77777777" w:rsidR="007A5A65" w:rsidRDefault="007A5A65">
      <w:pPr>
        <w:pStyle w:val="a4"/>
        <w:spacing w:before="54" w:line="560" w:lineRule="exact"/>
        <w:ind w:left="1824" w:right="271" w:hanging="960"/>
        <w:rPr>
          <w:rFonts w:ascii="仿宋_GB2312" w:eastAsia="仿宋_GB2312" w:hAnsi="仿宋_GB2312" w:cs="仿宋_GB2312" w:hint="eastAsia"/>
          <w:kern w:val="0"/>
        </w:rPr>
      </w:pPr>
    </w:p>
    <w:p w14:paraId="034E73BE" w14:textId="77777777" w:rsidR="007A5A65" w:rsidRDefault="007A5A65">
      <w:pPr>
        <w:pStyle w:val="a4"/>
        <w:spacing w:before="54" w:line="560" w:lineRule="exact"/>
        <w:ind w:left="1824" w:right="271" w:hanging="960"/>
        <w:rPr>
          <w:rFonts w:ascii="仿宋_GB2312" w:eastAsia="仿宋_GB2312" w:hAnsi="仿宋_GB2312" w:cs="仿宋_GB2312" w:hint="eastAsia"/>
          <w:kern w:val="0"/>
        </w:rPr>
      </w:pPr>
    </w:p>
    <w:p w14:paraId="73BAF944" w14:textId="77777777" w:rsidR="007A5A65" w:rsidRDefault="007A5A65">
      <w:pPr>
        <w:pStyle w:val="a4"/>
        <w:spacing w:before="54" w:line="560" w:lineRule="exact"/>
        <w:ind w:left="1824" w:right="271" w:hanging="960"/>
        <w:rPr>
          <w:rFonts w:ascii="仿宋_GB2312" w:eastAsia="仿宋_GB2312" w:hAnsi="仿宋_GB2312" w:cs="仿宋_GB2312" w:hint="eastAsia"/>
          <w:kern w:val="0"/>
        </w:rPr>
      </w:pPr>
    </w:p>
    <w:p w14:paraId="66F99D37" w14:textId="77777777" w:rsidR="007A5A65" w:rsidRDefault="007A5A65">
      <w:pPr>
        <w:pStyle w:val="a4"/>
        <w:spacing w:before="54" w:line="560" w:lineRule="exact"/>
        <w:ind w:left="1824" w:right="271" w:hanging="960"/>
        <w:rPr>
          <w:rFonts w:ascii="仿宋_GB2312" w:eastAsia="仿宋_GB2312" w:hAnsi="仿宋_GB2312" w:cs="仿宋_GB2312" w:hint="eastAsia"/>
          <w:kern w:val="0"/>
        </w:rPr>
      </w:pPr>
    </w:p>
    <w:p w14:paraId="11112CF6" w14:textId="77777777" w:rsidR="007A5A65" w:rsidRDefault="007A5A65">
      <w:pPr>
        <w:pStyle w:val="a4"/>
        <w:spacing w:before="54" w:line="560" w:lineRule="exact"/>
        <w:ind w:left="1824" w:right="271" w:hanging="960"/>
        <w:rPr>
          <w:rFonts w:ascii="仿宋_GB2312" w:eastAsia="仿宋_GB2312" w:hAnsi="仿宋_GB2312" w:cs="仿宋_GB2312" w:hint="eastAsia"/>
          <w:kern w:val="0"/>
        </w:rPr>
      </w:pPr>
    </w:p>
    <w:p w14:paraId="5AF69502" w14:textId="77777777" w:rsidR="007A5A65" w:rsidRDefault="007A5A65">
      <w:pPr>
        <w:pStyle w:val="a4"/>
        <w:spacing w:before="54" w:line="560" w:lineRule="exact"/>
        <w:ind w:left="1824" w:right="271" w:hanging="960"/>
        <w:rPr>
          <w:rFonts w:ascii="仿宋_GB2312" w:eastAsia="仿宋_GB2312" w:hAnsi="仿宋_GB2312" w:cs="仿宋_GB2312" w:hint="eastAsia"/>
          <w:kern w:val="0"/>
        </w:rPr>
      </w:pPr>
    </w:p>
    <w:p w14:paraId="40BF5E0B" w14:textId="77777777" w:rsidR="007A5A65" w:rsidRDefault="007A5A65">
      <w:pPr>
        <w:pStyle w:val="a4"/>
        <w:spacing w:before="54" w:line="560" w:lineRule="exact"/>
        <w:ind w:left="1824" w:right="271" w:hanging="960"/>
        <w:rPr>
          <w:rFonts w:ascii="仿宋_GB2312" w:eastAsia="仿宋_GB2312" w:hAnsi="仿宋_GB2312" w:cs="仿宋_GB2312" w:hint="eastAsia"/>
          <w:kern w:val="0"/>
        </w:rPr>
      </w:pPr>
    </w:p>
    <w:p w14:paraId="0887B08E" w14:textId="77777777" w:rsidR="007A5A65" w:rsidRDefault="007A5A65">
      <w:pPr>
        <w:pStyle w:val="HTML"/>
        <w:spacing w:line="550" w:lineRule="exact"/>
        <w:ind w:firstLineChars="200" w:firstLine="640"/>
        <w:jc w:val="both"/>
        <w:rPr>
          <w:rFonts w:ascii="仿宋_GB2312" w:eastAsia="仿宋_GB2312" w:hAnsi="仿宋_GB2312" w:cs="仿宋_GB2312"/>
          <w:sz w:val="32"/>
          <w:szCs w:val="32"/>
        </w:rPr>
      </w:pPr>
    </w:p>
    <w:p w14:paraId="588CE1EB" w14:textId="77777777" w:rsidR="007A5A65" w:rsidRDefault="00000000">
      <w:pPr>
        <w:pStyle w:val="a4"/>
        <w:spacing w:before="54" w:line="560" w:lineRule="exact"/>
        <w:ind w:right="271"/>
        <w:rPr>
          <w:rFonts w:ascii="黑体" w:eastAsia="黑体" w:hAnsi="黑体" w:cs="黑体" w:hint="eastAsia"/>
          <w:spacing w:val="-11"/>
        </w:rPr>
      </w:pPr>
      <w:r>
        <w:rPr>
          <w:rFonts w:ascii="黑体" w:eastAsia="黑体" w:hAnsi="黑体" w:cs="黑体" w:hint="eastAsia"/>
          <w:spacing w:val="-11"/>
        </w:rPr>
        <w:lastRenderedPageBreak/>
        <w:t>附：</w:t>
      </w:r>
    </w:p>
    <w:p w14:paraId="2FC3E643" w14:textId="77777777" w:rsidR="007A5A65" w:rsidRDefault="007A5A65">
      <w:pPr>
        <w:pStyle w:val="a4"/>
        <w:spacing w:line="240" w:lineRule="exact"/>
        <w:rPr>
          <w:rFonts w:ascii="黑体" w:eastAsia="黑体" w:hAnsi="黑体" w:cs="黑体" w:hint="eastAsia"/>
          <w:spacing w:val="-11"/>
        </w:rPr>
      </w:pPr>
    </w:p>
    <w:p w14:paraId="096575C7" w14:textId="77777777" w:rsidR="007A5A65" w:rsidRDefault="00000000">
      <w:pPr>
        <w:pStyle w:val="a4"/>
        <w:jc w:val="center"/>
        <w:rPr>
          <w:rFonts w:ascii="仿宋_GB2312" w:eastAsia="仿宋_GB2312" w:hAnsi="仿宋_GB2312" w:cs="仿宋_GB2312" w:hint="eastAsia"/>
          <w:spacing w:val="-11"/>
        </w:rPr>
      </w:pPr>
      <w:r>
        <w:rPr>
          <w:rFonts w:ascii="方正小标宋简体" w:eastAsia="方正小标宋简体" w:hAnsi="方正小标宋简体" w:cs="方正小标宋简体" w:hint="eastAsia"/>
          <w:spacing w:val="-11"/>
          <w:sz w:val="44"/>
          <w:szCs w:val="44"/>
        </w:rPr>
        <w:t xml:space="preserve"> 江西省陶瓷工程专业技术人员网络学习平台名单</w:t>
      </w:r>
    </w:p>
    <w:p w14:paraId="14641A2E" w14:textId="77777777" w:rsidR="007A5A65" w:rsidRDefault="00000000">
      <w:pPr>
        <w:pStyle w:val="a4"/>
        <w:spacing w:line="560" w:lineRule="exact"/>
        <w:jc w:val="center"/>
        <w:rPr>
          <w:rFonts w:ascii="楷体" w:eastAsia="楷体" w:hAnsi="楷体" w:cs="楷体" w:hint="eastAsia"/>
          <w:spacing w:val="-11"/>
          <w:sz w:val="30"/>
          <w:szCs w:val="30"/>
        </w:rPr>
      </w:pPr>
      <w:r>
        <w:rPr>
          <w:rFonts w:ascii="楷体" w:eastAsia="楷体" w:hAnsi="楷体" w:cs="楷体" w:hint="eastAsia"/>
          <w:spacing w:val="-11"/>
          <w:sz w:val="30"/>
          <w:szCs w:val="30"/>
        </w:rPr>
        <w:t>（排名不分先后）</w:t>
      </w:r>
    </w:p>
    <w:p w14:paraId="5F4D03BE" w14:textId="77777777" w:rsidR="007A5A65" w:rsidRDefault="007A5A65">
      <w:pPr>
        <w:pStyle w:val="a4"/>
        <w:spacing w:line="560" w:lineRule="exact"/>
        <w:rPr>
          <w:rFonts w:ascii="仿宋_GB2312" w:eastAsia="仿宋_GB2312" w:hAnsi="仿宋_GB2312" w:cs="仿宋_GB2312" w:hint="eastAsia"/>
          <w:spacing w:val="-11"/>
        </w:rPr>
      </w:pPr>
    </w:p>
    <w:p w14:paraId="2895703C" w14:textId="77777777" w:rsidR="007A5A65" w:rsidRDefault="00000000">
      <w:pPr>
        <w:pStyle w:val="a4"/>
        <w:spacing w:line="560" w:lineRule="exact"/>
        <w:ind w:firstLineChars="200" w:firstLine="605"/>
        <w:rPr>
          <w:rFonts w:ascii="仿宋_GB2312" w:eastAsia="仿宋_GB2312" w:hAnsi="仿宋_GB2312" w:cs="仿宋_GB2312" w:hint="eastAsia"/>
          <w:w w:val="95"/>
        </w:rPr>
      </w:pPr>
      <w:r>
        <w:rPr>
          <w:rFonts w:ascii="仿宋_GB2312" w:eastAsia="仿宋_GB2312" w:hAnsi="仿宋_GB2312" w:cs="仿宋_GB2312" w:hint="eastAsia"/>
          <w:w w:val="95"/>
        </w:rPr>
        <w:t>1.江西师范大学-江西专</w:t>
      </w:r>
      <w:proofErr w:type="gramStart"/>
      <w:r>
        <w:rPr>
          <w:rFonts w:ascii="仿宋_GB2312" w:eastAsia="仿宋_GB2312" w:hAnsi="仿宋_GB2312" w:cs="仿宋_GB2312" w:hint="eastAsia"/>
          <w:w w:val="95"/>
        </w:rPr>
        <w:t>技学习</w:t>
      </w:r>
      <w:proofErr w:type="gramEnd"/>
      <w:r>
        <w:rPr>
          <w:rFonts w:ascii="仿宋_GB2312" w:eastAsia="仿宋_GB2312" w:hAnsi="仿宋_GB2312" w:cs="仿宋_GB2312" w:hint="eastAsia"/>
          <w:w w:val="95"/>
        </w:rPr>
        <w:t>网</w:t>
      </w:r>
    </w:p>
    <w:p w14:paraId="07FF69F8" w14:textId="77777777" w:rsidR="007A5A65" w:rsidRDefault="00000000">
      <w:pPr>
        <w:pStyle w:val="a4"/>
        <w:spacing w:line="560" w:lineRule="exact"/>
        <w:ind w:firstLineChars="300" w:firstLine="908"/>
        <w:rPr>
          <w:rFonts w:ascii="仿宋_GB2312" w:eastAsia="仿宋_GB2312" w:hAnsi="仿宋_GB2312" w:cs="仿宋_GB2312" w:hint="eastAsia"/>
          <w:w w:val="95"/>
        </w:rPr>
      </w:pPr>
      <w:r>
        <w:rPr>
          <w:rFonts w:ascii="仿宋_GB2312" w:eastAsia="仿宋_GB2312" w:hAnsi="仿宋_GB2312" w:cs="仿宋_GB2312" w:hint="eastAsia"/>
          <w:w w:val="95"/>
        </w:rPr>
        <w:t>客服电话：4006220660</w:t>
      </w:r>
    </w:p>
    <w:p w14:paraId="6C90FD19" w14:textId="77777777" w:rsidR="007A5A65" w:rsidRDefault="00000000">
      <w:pPr>
        <w:pStyle w:val="a4"/>
        <w:spacing w:line="560" w:lineRule="exact"/>
        <w:ind w:firstLineChars="200" w:firstLine="605"/>
        <w:rPr>
          <w:rFonts w:ascii="仿宋_GB2312" w:eastAsia="仿宋_GB2312" w:hAnsi="仿宋_GB2312" w:cs="仿宋_GB2312" w:hint="eastAsia"/>
          <w:w w:val="95"/>
        </w:rPr>
      </w:pPr>
      <w:r>
        <w:rPr>
          <w:rFonts w:ascii="仿宋_GB2312" w:eastAsia="仿宋_GB2312" w:hAnsi="仿宋_GB2312" w:cs="仿宋_GB2312" w:hint="eastAsia"/>
          <w:w w:val="95"/>
        </w:rPr>
        <w:t>2.湖南大学-江西专业技术人员继续教育平台</w:t>
      </w:r>
    </w:p>
    <w:p w14:paraId="114A9628" w14:textId="77777777" w:rsidR="007A5A65" w:rsidRDefault="00000000">
      <w:pPr>
        <w:pStyle w:val="a4"/>
        <w:spacing w:line="560" w:lineRule="exact"/>
        <w:ind w:firstLineChars="300" w:firstLine="960"/>
        <w:rPr>
          <w:rFonts w:ascii="仿宋_GB2312" w:eastAsia="仿宋_GB2312" w:hAnsi="仿宋_GB2312" w:cs="仿宋_GB2312" w:hint="eastAsia"/>
        </w:rPr>
      </w:pPr>
      <w:r>
        <w:rPr>
          <w:rFonts w:ascii="仿宋_GB2312" w:eastAsia="仿宋_GB2312" w:hAnsi="仿宋_GB2312" w:cs="仿宋_GB2312" w:hint="eastAsia"/>
        </w:rPr>
        <w:t>客服电话：4001911818</w:t>
      </w:r>
    </w:p>
    <w:p w14:paraId="756F298F" w14:textId="77777777" w:rsidR="007A5A65" w:rsidRDefault="00000000">
      <w:pPr>
        <w:pStyle w:val="a4"/>
        <w:spacing w:line="560" w:lineRule="exact"/>
        <w:ind w:firstLineChars="200" w:firstLine="640"/>
        <w:rPr>
          <w:rFonts w:ascii="仿宋_GB2312" w:eastAsia="仿宋_GB2312" w:hAnsi="仿宋_GB2312" w:cs="仿宋_GB2312" w:hint="eastAsia"/>
        </w:rPr>
      </w:pPr>
      <w:r>
        <w:rPr>
          <w:rFonts w:ascii="仿宋_GB2312" w:eastAsia="仿宋_GB2312" w:hAnsi="仿宋_GB2312" w:cs="仿宋_GB2312" w:hint="eastAsia"/>
        </w:rPr>
        <w:t>3.北京</w:t>
      </w:r>
      <w:proofErr w:type="gramStart"/>
      <w:r>
        <w:rPr>
          <w:rFonts w:ascii="仿宋_GB2312" w:eastAsia="仿宋_GB2312" w:hAnsi="仿宋_GB2312" w:cs="仿宋_GB2312" w:hint="eastAsia"/>
        </w:rPr>
        <w:t>网梯科技</w:t>
      </w:r>
      <w:proofErr w:type="gramEnd"/>
      <w:r>
        <w:rPr>
          <w:rFonts w:ascii="仿宋_GB2312" w:eastAsia="仿宋_GB2312" w:hAnsi="仿宋_GB2312" w:cs="仿宋_GB2312" w:hint="eastAsia"/>
        </w:rPr>
        <w:t>-江西专技在线</w:t>
      </w:r>
    </w:p>
    <w:p w14:paraId="449A5985" w14:textId="77777777" w:rsidR="007A5A65" w:rsidRDefault="00000000">
      <w:pPr>
        <w:pStyle w:val="a4"/>
        <w:spacing w:line="560" w:lineRule="exact"/>
        <w:ind w:firstLineChars="300" w:firstLine="960"/>
        <w:rPr>
          <w:rFonts w:ascii="仿宋_GB2312" w:eastAsia="仿宋_GB2312" w:hAnsi="仿宋_GB2312" w:cs="仿宋_GB2312" w:hint="eastAsia"/>
        </w:rPr>
      </w:pPr>
      <w:r>
        <w:rPr>
          <w:rFonts w:ascii="仿宋_GB2312" w:eastAsia="仿宋_GB2312" w:hAnsi="仿宋_GB2312" w:cs="仿宋_GB2312" w:hint="eastAsia"/>
        </w:rPr>
        <w:t>客服电话：4008039966</w:t>
      </w:r>
    </w:p>
    <w:p w14:paraId="706925D8" w14:textId="77777777" w:rsidR="007A5A65" w:rsidRDefault="007A5A65">
      <w:pPr>
        <w:pStyle w:val="HTML"/>
        <w:spacing w:line="560" w:lineRule="exact"/>
        <w:ind w:firstLineChars="100" w:firstLine="320"/>
        <w:jc w:val="right"/>
        <w:rPr>
          <w:rFonts w:ascii="仿宋_GB2312" w:eastAsia="仿宋_GB2312" w:hAnsi="仿宋_GB2312" w:cs="仿宋_GB2312"/>
          <w:sz w:val="32"/>
          <w:szCs w:val="32"/>
        </w:rPr>
      </w:pPr>
    </w:p>
    <w:sectPr w:rsidR="007A5A65">
      <w:footerReference w:type="even" r:id="rId8"/>
      <w:footerReference w:type="default" r:id="rId9"/>
      <w:pgSz w:w="11906" w:h="16838"/>
      <w:pgMar w:top="1701" w:right="1417" w:bottom="1417"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FDE12" w14:textId="77777777" w:rsidR="005A0D48" w:rsidRDefault="005A0D48">
      <w:r>
        <w:separator/>
      </w:r>
    </w:p>
  </w:endnote>
  <w:endnote w:type="continuationSeparator" w:id="0">
    <w:p w14:paraId="6939A2E9" w14:textId="77777777" w:rsidR="005A0D48" w:rsidRDefault="005A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FA9A" w14:textId="77777777" w:rsidR="007A5A65" w:rsidRDefault="00000000">
    <w:pPr>
      <w:pStyle w:val="a4"/>
      <w:spacing w:line="14" w:lineRule="auto"/>
      <w:rPr>
        <w:rFonts w:hint="eastAsia"/>
        <w:sz w:val="20"/>
      </w:rPr>
    </w:pPr>
    <w:r>
      <w:rPr>
        <w:noProof/>
      </w:rPr>
      <mc:AlternateContent>
        <mc:Choice Requires="wps">
          <w:drawing>
            <wp:anchor distT="0" distB="0" distL="114300" distR="114300" simplePos="0" relativeHeight="251661312" behindDoc="1" locked="0" layoutInCell="1" allowOverlap="1" wp14:anchorId="5F411D63" wp14:editId="6011379A">
              <wp:simplePos x="0" y="0"/>
              <wp:positionH relativeFrom="page">
                <wp:posOffset>994410</wp:posOffset>
              </wp:positionH>
              <wp:positionV relativeFrom="page">
                <wp:posOffset>9923780</wp:posOffset>
              </wp:positionV>
              <wp:extent cx="415925" cy="223520"/>
              <wp:effectExtent l="0" t="0" r="0" b="0"/>
              <wp:wrapNone/>
              <wp:docPr id="6" name="文本框 2"/>
              <wp:cNvGraphicFramePr/>
              <a:graphic xmlns:a="http://schemas.openxmlformats.org/drawingml/2006/main">
                <a:graphicData uri="http://schemas.microsoft.com/office/word/2010/wordprocessingShape">
                  <wps:wsp>
                    <wps:cNvSpPr txBox="1"/>
                    <wps:spPr>
                      <a:xfrm>
                        <a:off x="0" y="0"/>
                        <a:ext cx="415925" cy="223520"/>
                      </a:xfrm>
                      <a:prstGeom prst="rect">
                        <a:avLst/>
                      </a:prstGeom>
                      <a:noFill/>
                      <a:ln>
                        <a:noFill/>
                      </a:ln>
                    </wps:spPr>
                    <wps:txbx>
                      <w:txbxContent>
                        <w:p w14:paraId="56A4A549" w14:textId="77777777" w:rsidR="007A5A65" w:rsidRDefault="00000000">
                          <w:pPr>
                            <w:spacing w:before="11"/>
                            <w:ind w:left="20"/>
                            <w:jc w:val="left"/>
                            <w:rPr>
                              <w:sz w:val="28"/>
                            </w:rPr>
                          </w:pPr>
                          <w:r>
                            <w:rPr>
                              <w:sz w:val="18"/>
                            </w:rPr>
                            <w:t xml:space="preserve">— </w:t>
                          </w:r>
                          <w:r>
                            <w:fldChar w:fldCharType="begin"/>
                          </w:r>
                          <w:r>
                            <w:rPr>
                              <w:sz w:val="28"/>
                            </w:rPr>
                            <w:instrText xml:space="preserve"> PAGE </w:instrText>
                          </w:r>
                          <w:r>
                            <w:fldChar w:fldCharType="separate"/>
                          </w:r>
                          <w:r>
                            <w:t>2</w:t>
                          </w:r>
                          <w:r>
                            <w:fldChar w:fldCharType="end"/>
                          </w:r>
                          <w:r>
                            <w:rPr>
                              <w:sz w:val="28"/>
                            </w:rPr>
                            <w:t xml:space="preserve"> </w:t>
                          </w:r>
                          <w:r>
                            <w:rPr>
                              <w:sz w:val="28"/>
                              <w:vertAlign w:val="subscript"/>
                            </w:rPr>
                            <w:t>—</w:t>
                          </w:r>
                        </w:p>
                      </w:txbxContent>
                    </wps:txbx>
                    <wps:bodyPr lIns="0" tIns="0" rIns="0" bIns="0" upright="1"/>
                  </wps:wsp>
                </a:graphicData>
              </a:graphic>
            </wp:anchor>
          </w:drawing>
        </mc:Choice>
        <mc:Fallback>
          <w:pict>
            <v:shapetype w14:anchorId="5F411D63" id="_x0000_t202" coordsize="21600,21600" o:spt="202" path="m,l,21600r21600,l21600,xe">
              <v:stroke joinstyle="miter"/>
              <v:path gradientshapeok="t" o:connecttype="rect"/>
            </v:shapetype>
            <v:shape id="文本框 2" o:spid="_x0000_s1026" type="#_x0000_t202" style="position:absolute;left:0;text-align:left;margin-left:78.3pt;margin-top:781.4pt;width:32.75pt;height:17.6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" filled="f" stroked="f">
              <v:textbox inset="0,0,0,0">
                <w:txbxContent>
                  <w:p w14:paraId="56A4A549" w14:textId="77777777" w:rsidR="007A5A65" w:rsidRDefault="00000000">
                    <w:pPr>
                      <w:spacing w:before="11"/>
                      <w:ind w:left="20"/>
                      <w:jc w:val="left"/>
                      <w:rPr>
                        <w:sz w:val="28"/>
                      </w:rPr>
                    </w:pPr>
                    <w:r>
                      <w:rPr>
                        <w:sz w:val="18"/>
                      </w:rPr>
                      <w:t xml:space="preserve">— </w:t>
                    </w:r>
                    <w:r>
                      <w:fldChar w:fldCharType="begin"/>
                    </w:r>
                    <w:r>
                      <w:rPr>
                        <w:sz w:val="28"/>
                      </w:rPr>
                      <w:instrText xml:space="preserve"> PAGE </w:instrText>
                    </w:r>
                    <w:r>
                      <w:fldChar w:fldCharType="separate"/>
                    </w:r>
                    <w:r>
                      <w:t>2</w:t>
                    </w:r>
                    <w:r>
                      <w:fldChar w:fldCharType="end"/>
                    </w:r>
                    <w:r>
                      <w:rPr>
                        <w:sz w:val="28"/>
                      </w:rPr>
                      <w:t xml:space="preserve"> </w:t>
                    </w:r>
                    <w:r>
                      <w:rPr>
                        <w:sz w:val="28"/>
                        <w:vertAlign w:val="subscript"/>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CA12" w14:textId="77777777" w:rsidR="007A5A65" w:rsidRDefault="00000000">
    <w:pPr>
      <w:pStyle w:val="a4"/>
      <w:spacing w:line="14" w:lineRule="auto"/>
      <w:rPr>
        <w:rFonts w:hint="eastAsia"/>
        <w:sz w:val="20"/>
      </w:rPr>
    </w:pPr>
    <w:r>
      <w:rPr>
        <w:noProof/>
        <w:sz w:val="20"/>
      </w:rPr>
      <mc:AlternateContent>
        <mc:Choice Requires="wps">
          <w:drawing>
            <wp:anchor distT="0" distB="0" distL="114300" distR="114300" simplePos="0" relativeHeight="251662336" behindDoc="0" locked="0" layoutInCell="1" allowOverlap="1" wp14:anchorId="0F8F0A95" wp14:editId="7D959E5D">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94460" w14:textId="77777777" w:rsidR="007A5A65" w:rsidRDefault="00000000">
                          <w:pPr>
                            <w:pStyle w:val="a6"/>
                            <w:rPr>
                              <w:rFonts w:ascii="宋体" w:hAnsi="宋体" w:cs="宋体" w:hint="eastAsia"/>
                              <w:sz w:val="30"/>
                              <w:szCs w:val="30"/>
                            </w:rPr>
                          </w:pPr>
                          <w:r>
                            <w:rPr>
                              <w:rFonts w:ascii="宋体" w:hAnsi="宋体" w:cs="宋体" w:hint="eastAsia"/>
                              <w:sz w:val="30"/>
                              <w:szCs w:val="30"/>
                            </w:rPr>
                            <w:t xml:space="preserve">— </w:t>
                          </w:r>
                          <w:r>
                            <w:rPr>
                              <w:rFonts w:ascii="宋体" w:hAnsi="宋体" w:cs="宋体" w:hint="eastAsia"/>
                              <w:sz w:val="30"/>
                              <w:szCs w:val="30"/>
                            </w:rPr>
                            <w:fldChar w:fldCharType="begin"/>
                          </w:r>
                          <w:r>
                            <w:rPr>
                              <w:rFonts w:ascii="宋体" w:hAnsi="宋体" w:cs="宋体" w:hint="eastAsia"/>
                              <w:sz w:val="30"/>
                              <w:szCs w:val="30"/>
                            </w:rPr>
                            <w:instrText xml:space="preserve"> PAGE  \* MERGEFORMAT </w:instrText>
                          </w:r>
                          <w:r>
                            <w:rPr>
                              <w:rFonts w:ascii="宋体" w:hAnsi="宋体" w:cs="宋体" w:hint="eastAsia"/>
                              <w:sz w:val="30"/>
                              <w:szCs w:val="30"/>
                            </w:rPr>
                            <w:fldChar w:fldCharType="separate"/>
                          </w:r>
                          <w:r>
                            <w:rPr>
                              <w:rFonts w:ascii="宋体" w:hAnsi="宋体" w:cs="宋体" w:hint="eastAsia"/>
                              <w:sz w:val="30"/>
                              <w:szCs w:val="30"/>
                            </w:rPr>
                            <w:t>1</w:t>
                          </w:r>
                          <w:r>
                            <w:rPr>
                              <w:rFonts w:ascii="宋体" w:hAnsi="宋体" w:cs="宋体" w:hint="eastAsia"/>
                              <w:sz w:val="30"/>
                              <w:szCs w:val="30"/>
                            </w:rPr>
                            <w:fldChar w:fldCharType="end"/>
                          </w:r>
                          <w:r>
                            <w:rPr>
                              <w:rFonts w:ascii="宋体" w:hAnsi="宋体" w:cs="宋体" w:hint="eastAsia"/>
                              <w:sz w:val="30"/>
                              <w:szCs w:val="3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8F0A95" id="_x0000_t202" coordsize="21600,21600" o:spt="202" path="m,l,21600r21600,l21600,xe">
              <v:stroke joinstyle="miter"/>
              <v:path gradientshapeok="t" o:connecttype="rect"/>
            </v:shapetype>
            <v:shape 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FE94460" w14:textId="77777777" w:rsidR="007A5A65" w:rsidRDefault="00000000">
                    <w:pPr>
                      <w:pStyle w:val="a6"/>
                      <w:rPr>
                        <w:rFonts w:ascii="宋体" w:hAnsi="宋体" w:cs="宋体" w:hint="eastAsia"/>
                        <w:sz w:val="30"/>
                        <w:szCs w:val="30"/>
                      </w:rPr>
                    </w:pPr>
                    <w:r>
                      <w:rPr>
                        <w:rFonts w:ascii="宋体" w:hAnsi="宋体" w:cs="宋体" w:hint="eastAsia"/>
                        <w:sz w:val="30"/>
                        <w:szCs w:val="30"/>
                      </w:rPr>
                      <w:t xml:space="preserve">— </w:t>
                    </w:r>
                    <w:r>
                      <w:rPr>
                        <w:rFonts w:ascii="宋体" w:hAnsi="宋体" w:cs="宋体" w:hint="eastAsia"/>
                        <w:sz w:val="30"/>
                        <w:szCs w:val="30"/>
                      </w:rPr>
                      <w:fldChar w:fldCharType="begin"/>
                    </w:r>
                    <w:r>
                      <w:rPr>
                        <w:rFonts w:ascii="宋体" w:hAnsi="宋体" w:cs="宋体" w:hint="eastAsia"/>
                        <w:sz w:val="30"/>
                        <w:szCs w:val="30"/>
                      </w:rPr>
                      <w:instrText xml:space="preserve"> PAGE  \* MERGEFORMAT </w:instrText>
                    </w:r>
                    <w:r>
                      <w:rPr>
                        <w:rFonts w:ascii="宋体" w:hAnsi="宋体" w:cs="宋体" w:hint="eastAsia"/>
                        <w:sz w:val="30"/>
                        <w:szCs w:val="30"/>
                      </w:rPr>
                      <w:fldChar w:fldCharType="separate"/>
                    </w:r>
                    <w:r>
                      <w:rPr>
                        <w:rFonts w:ascii="宋体" w:hAnsi="宋体" w:cs="宋体" w:hint="eastAsia"/>
                        <w:sz w:val="30"/>
                        <w:szCs w:val="30"/>
                      </w:rPr>
                      <w:t>1</w:t>
                    </w:r>
                    <w:r>
                      <w:rPr>
                        <w:rFonts w:ascii="宋体" w:hAnsi="宋体" w:cs="宋体" w:hint="eastAsia"/>
                        <w:sz w:val="30"/>
                        <w:szCs w:val="30"/>
                      </w:rPr>
                      <w:fldChar w:fldCharType="end"/>
                    </w:r>
                    <w:r>
                      <w:rPr>
                        <w:rFonts w:ascii="宋体" w:hAnsi="宋体" w:cs="宋体" w:hint="eastAsia"/>
                        <w:sz w:val="30"/>
                        <w:szCs w:val="30"/>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83093" w14:textId="77777777" w:rsidR="005A0D48" w:rsidRDefault="005A0D48">
      <w:r>
        <w:separator/>
      </w:r>
    </w:p>
  </w:footnote>
  <w:footnote w:type="continuationSeparator" w:id="0">
    <w:p w14:paraId="08925E9C" w14:textId="77777777" w:rsidR="005A0D48" w:rsidRDefault="005A0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5528A8"/>
    <w:multiLevelType w:val="singleLevel"/>
    <w:tmpl w:val="AE5528A8"/>
    <w:lvl w:ilvl="0">
      <w:start w:val="1"/>
      <w:numFmt w:val="chineseCounting"/>
      <w:suff w:val="nothing"/>
      <w:lvlText w:val="（%1）"/>
      <w:lvlJc w:val="left"/>
      <w:rPr>
        <w:rFonts w:hint="eastAsia"/>
        <w:b/>
        <w:bCs/>
      </w:rPr>
    </w:lvl>
  </w:abstractNum>
  <w:abstractNum w:abstractNumId="1" w15:restartNumberingAfterBreak="0">
    <w:nsid w:val="0C08847A"/>
    <w:multiLevelType w:val="singleLevel"/>
    <w:tmpl w:val="0C08847A"/>
    <w:lvl w:ilvl="0">
      <w:start w:val="3"/>
      <w:numFmt w:val="chineseCounting"/>
      <w:suff w:val="nothing"/>
      <w:lvlText w:val="%1、"/>
      <w:lvlJc w:val="left"/>
      <w:rPr>
        <w:rFonts w:ascii="黑体" w:eastAsia="黑体" w:hAnsi="黑体" w:cs="黑体" w:hint="eastAsia"/>
      </w:rPr>
    </w:lvl>
  </w:abstractNum>
  <w:num w:numId="1" w16cid:durableId="370036736">
    <w:abstractNumId w:val="1"/>
  </w:num>
  <w:num w:numId="2" w16cid:durableId="1750274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U2MDFjOGU2N2Y0OWQ1NzY0ZTBkNzY3NWFkNTBlMTUifQ=="/>
  </w:docVars>
  <w:rsids>
    <w:rsidRoot w:val="54123E8E"/>
    <w:rsid w:val="EF7554B6"/>
    <w:rsid w:val="EFDD63FF"/>
    <w:rsid w:val="EFEFB786"/>
    <w:rsid w:val="FEBE980F"/>
    <w:rsid w:val="FEEF910B"/>
    <w:rsid w:val="FF57DC5A"/>
    <w:rsid w:val="00165638"/>
    <w:rsid w:val="00191F04"/>
    <w:rsid w:val="003E45E5"/>
    <w:rsid w:val="003F7B8F"/>
    <w:rsid w:val="005A0D48"/>
    <w:rsid w:val="005F12CF"/>
    <w:rsid w:val="0066797E"/>
    <w:rsid w:val="006F00F2"/>
    <w:rsid w:val="007A5A65"/>
    <w:rsid w:val="00C725A6"/>
    <w:rsid w:val="00CB4E98"/>
    <w:rsid w:val="09A03932"/>
    <w:rsid w:val="0A4F76B2"/>
    <w:rsid w:val="0F8040DD"/>
    <w:rsid w:val="0FFD39C3"/>
    <w:rsid w:val="12D3B932"/>
    <w:rsid w:val="137C3C78"/>
    <w:rsid w:val="13B2674F"/>
    <w:rsid w:val="21CC102E"/>
    <w:rsid w:val="2A541E5E"/>
    <w:rsid w:val="2D2A09F9"/>
    <w:rsid w:val="2E84282E"/>
    <w:rsid w:val="2FF427CB"/>
    <w:rsid w:val="33540C46"/>
    <w:rsid w:val="335C206A"/>
    <w:rsid w:val="33C323AA"/>
    <w:rsid w:val="367E27FE"/>
    <w:rsid w:val="39BFE44C"/>
    <w:rsid w:val="3A501AF2"/>
    <w:rsid w:val="3EF1DC70"/>
    <w:rsid w:val="453708F6"/>
    <w:rsid w:val="4B6C5FA9"/>
    <w:rsid w:val="4DEF5F99"/>
    <w:rsid w:val="526F3A1A"/>
    <w:rsid w:val="54123E8E"/>
    <w:rsid w:val="55BDE496"/>
    <w:rsid w:val="5AFFD100"/>
    <w:rsid w:val="5CBBDDF9"/>
    <w:rsid w:val="5EF7200E"/>
    <w:rsid w:val="5F37A898"/>
    <w:rsid w:val="5FED34C1"/>
    <w:rsid w:val="61BEE095"/>
    <w:rsid w:val="63AB4F2F"/>
    <w:rsid w:val="667754CA"/>
    <w:rsid w:val="67DA06B3"/>
    <w:rsid w:val="709E6AD1"/>
    <w:rsid w:val="73EBD204"/>
    <w:rsid w:val="7476306C"/>
    <w:rsid w:val="75ED6880"/>
    <w:rsid w:val="76065484"/>
    <w:rsid w:val="76754F4C"/>
    <w:rsid w:val="77C12FF0"/>
    <w:rsid w:val="7A1E16FE"/>
    <w:rsid w:val="7A774272"/>
    <w:rsid w:val="7AB95752"/>
    <w:rsid w:val="7BDDCA3A"/>
    <w:rsid w:val="7BFD3290"/>
    <w:rsid w:val="7F77E371"/>
    <w:rsid w:val="7F7F30C9"/>
    <w:rsid w:val="7FD1105E"/>
    <w:rsid w:val="7FE2CE72"/>
    <w:rsid w:val="7FFF37AC"/>
    <w:rsid w:val="8F7D0F4C"/>
    <w:rsid w:val="9EFA6FD2"/>
    <w:rsid w:val="A2BDFF5B"/>
    <w:rsid w:val="AEFBFBD3"/>
    <w:rsid w:val="AFF388B3"/>
    <w:rsid w:val="B36525CE"/>
    <w:rsid w:val="B3FA60DA"/>
    <w:rsid w:val="BFFB1A36"/>
    <w:rsid w:val="C6FDEA67"/>
    <w:rsid w:val="CF737686"/>
    <w:rsid w:val="D3C70597"/>
    <w:rsid w:val="DD7FD89A"/>
    <w:rsid w:val="DDFB2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7F7107"/>
  <w15:docId w15:val="{5D8C4982-4414-474F-8ADA-AA1467DA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Body Text Indent" w:uiPriority="99" w:unhideWhenUsed="1"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uiPriority w:val="1"/>
    <w:qFormat/>
    <w:pPr>
      <w:spacing w:before="61"/>
      <w:ind w:left="908" w:right="405" w:hanging="1596"/>
      <w:outlineLvl w:val="0"/>
    </w:pPr>
    <w:rPr>
      <w:rFonts w:ascii="宋体" w:hAnsi="宋体" w:cs="宋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uiPriority w:val="99"/>
    <w:unhideWhenUsed/>
    <w:qFormat/>
    <w:pPr>
      <w:ind w:firstLineChars="171" w:firstLine="359"/>
    </w:pPr>
    <w:rPr>
      <w:rFonts w:ascii="Calibri" w:hAnsi="Calibri" w:cs="宋体"/>
      <w:kern w:val="0"/>
      <w:sz w:val="20"/>
      <w:szCs w:val="20"/>
    </w:rPr>
  </w:style>
  <w:style w:type="paragraph" w:styleId="a4">
    <w:name w:val="Body Text"/>
    <w:basedOn w:val="a"/>
    <w:uiPriority w:val="1"/>
    <w:qFormat/>
    <w:rPr>
      <w:rFonts w:ascii="宋体" w:hAnsi="宋体" w:cs="宋体"/>
      <w:sz w:val="32"/>
      <w:szCs w:val="32"/>
    </w:rPr>
  </w:style>
  <w:style w:type="paragraph" w:styleId="a5">
    <w:name w:val="Plain Text"/>
    <w:basedOn w:val="a"/>
    <w:qFormat/>
    <w:rPr>
      <w:rFonts w:ascii="宋体" w:hAnsi="Courier New" w:cs="Courier New"/>
      <w:szCs w:val="21"/>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qFormat/>
    <w:pPr>
      <w:spacing w:beforeAutospacing="1" w:afterAutospacing="1"/>
      <w:jc w:val="left"/>
    </w:pPr>
    <w:rPr>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customStyle="1" w:styleId="font21">
    <w:name w:val="font21"/>
    <w:basedOn w:val="a0"/>
    <w:qFormat/>
    <w:rPr>
      <w:rFonts w:ascii="仿宋_GB2312" w:eastAsia="仿宋_GB2312" w:cs="仿宋_GB2312"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小王</dc:creator>
  <cp:lastModifiedBy>SYK</cp:lastModifiedBy>
  <cp:revision>2</cp:revision>
  <dcterms:created xsi:type="dcterms:W3CDTF">2026-03-17T08:42:00Z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95B17E44AE0847EBB2C733CE6EAE971F_13</vt:lpwstr>
  </property>
  <property fmtid="{D5CDD505-2E9C-101B-9397-08002B2CF9AE}" pid="4" name="KSOTemplateDocerSaveRecord">
    <vt:lpwstr>eyJoZGlkIjoiMTAyYTZlMzEyODlmMzA4NmJlYjhkYzI0NzczZWQ2ZGEiLCJ1c2VySWQiOiIzMjkzNzM5MzcifQ==</vt:lpwstr>
  </property>
</Properties>
</file>